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C42BA">
      <w:pPr>
        <w:widowControl/>
        <w:jc w:val="center"/>
        <w:rPr>
          <w:rFonts w:ascii="方正小标宋简体" w:hAnsi="方正小标宋简体" w:eastAsia="方正小标宋简体" w:cs="方正小标宋简体"/>
          <w:snapToGrid w:val="0"/>
          <w:color w:val="000000"/>
          <w:spacing w:val="-1"/>
          <w:kern w:val="0"/>
          <w:sz w:val="48"/>
          <w:szCs w:val="48"/>
        </w:rPr>
      </w:pPr>
    </w:p>
    <w:p w14:paraId="786592BE">
      <w:pPr>
        <w:widowControl/>
        <w:jc w:val="center"/>
        <w:rPr>
          <w:rFonts w:ascii="方正小标宋简体" w:hAnsi="方正小标宋简体" w:eastAsia="方正小标宋简体" w:cs="方正小标宋简体"/>
          <w:snapToGrid w:val="0"/>
          <w:color w:val="000000"/>
          <w:spacing w:val="-1"/>
          <w:kern w:val="0"/>
          <w:sz w:val="48"/>
          <w:szCs w:val="48"/>
        </w:rPr>
      </w:pPr>
    </w:p>
    <w:p w14:paraId="1532C7F9">
      <w:pPr>
        <w:widowControl/>
        <w:jc w:val="center"/>
        <w:rPr>
          <w:rFonts w:ascii="方正小标宋简体" w:hAnsi="方正小标宋简体" w:eastAsia="方正小标宋简体" w:cs="方正小标宋简体"/>
          <w:snapToGrid w:val="0"/>
          <w:color w:val="000000"/>
          <w:spacing w:val="-1"/>
          <w:kern w:val="0"/>
          <w:sz w:val="48"/>
          <w:szCs w:val="48"/>
        </w:rPr>
      </w:pPr>
    </w:p>
    <w:p w14:paraId="6A22BADE">
      <w:pPr>
        <w:widowControl/>
        <w:kinsoku w:val="0"/>
        <w:autoSpaceDE w:val="0"/>
        <w:autoSpaceDN w:val="0"/>
        <w:adjustRightInd w:val="0"/>
        <w:snapToGrid w:val="0"/>
        <w:spacing w:before="186" w:line="580" w:lineRule="exact"/>
        <w:jc w:val="center"/>
        <w:textAlignment w:val="baseline"/>
        <w:rPr>
          <w:rFonts w:ascii="方正小标宋简体" w:hAnsi="方正小标宋简体" w:eastAsia="方正小标宋简体" w:cs="方正小标宋简体"/>
          <w:snapToGrid w:val="0"/>
          <w:color w:val="000000"/>
          <w:spacing w:val="-1"/>
          <w:kern w:val="0"/>
          <w:sz w:val="48"/>
          <w:szCs w:val="48"/>
          <w:lang w:eastAsia="en-US"/>
        </w:rPr>
      </w:pPr>
      <w:r>
        <w:rPr>
          <w:rFonts w:ascii="方正小标宋简体" w:hAnsi="方正小标宋简体" w:eastAsia="方正小标宋简体" w:cs="方正小标宋简体"/>
          <w:snapToGrid w:val="0"/>
          <w:color w:val="000000"/>
          <w:spacing w:val="-1"/>
          <w:kern w:val="0"/>
          <w:sz w:val="48"/>
          <w:szCs w:val="48"/>
          <w:lang w:eastAsia="en-US"/>
        </w:rPr>
        <w:t>2026年常州市武进区婴幼儿发展引导员职业技能竞赛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-1"/>
          <w:kern w:val="0"/>
          <w:sz w:val="48"/>
          <w:szCs w:val="48"/>
          <w:lang w:val="en-US" w:eastAsia="zh-CN"/>
        </w:rPr>
        <w:t>育婴员</w:t>
      </w:r>
      <w:r>
        <w:rPr>
          <w:rFonts w:ascii="方正小标宋简体" w:hAnsi="方正小标宋简体" w:eastAsia="方正小标宋简体" w:cs="方正小标宋简体"/>
          <w:snapToGrid w:val="0"/>
          <w:color w:val="000000"/>
          <w:spacing w:val="-1"/>
          <w:kern w:val="0"/>
          <w:sz w:val="48"/>
          <w:szCs w:val="48"/>
          <w:lang w:eastAsia="en-US"/>
        </w:rPr>
        <w:t>项目（职工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-1"/>
          <w:kern w:val="0"/>
          <w:sz w:val="48"/>
          <w:szCs w:val="48"/>
          <w:lang w:val="en-US" w:eastAsia="zh-CN"/>
        </w:rPr>
        <w:t>组</w:t>
      </w:r>
      <w:r>
        <w:rPr>
          <w:rFonts w:ascii="方正小标宋简体" w:hAnsi="方正小标宋简体" w:eastAsia="方正小标宋简体" w:cs="方正小标宋简体"/>
          <w:snapToGrid w:val="0"/>
          <w:color w:val="000000"/>
          <w:spacing w:val="-1"/>
          <w:kern w:val="0"/>
          <w:sz w:val="48"/>
          <w:szCs w:val="48"/>
          <w:lang w:eastAsia="en-US"/>
        </w:rPr>
        <w:t>）</w:t>
      </w:r>
    </w:p>
    <w:p w14:paraId="326BADA4">
      <w:pPr>
        <w:widowControl/>
        <w:kinsoku w:val="0"/>
        <w:autoSpaceDE w:val="0"/>
        <w:autoSpaceDN w:val="0"/>
        <w:adjustRightInd w:val="0"/>
        <w:snapToGrid w:val="0"/>
        <w:spacing w:before="186" w:line="580" w:lineRule="exact"/>
        <w:jc w:val="center"/>
        <w:textAlignment w:val="baseline"/>
        <w:rPr>
          <w:rFonts w:ascii="方正小标宋简体" w:hAnsi="方正小标宋简体" w:eastAsia="方正小标宋简体" w:cs="方正小标宋简体"/>
          <w:snapToGrid w:val="0"/>
          <w:color w:val="000000"/>
          <w:spacing w:val="-1"/>
          <w:kern w:val="0"/>
          <w:sz w:val="48"/>
          <w:szCs w:val="48"/>
          <w:lang w:eastAsia="en-US"/>
        </w:rPr>
      </w:pPr>
    </w:p>
    <w:p w14:paraId="29F9F8A7">
      <w:pPr>
        <w:widowControl/>
        <w:kinsoku w:val="0"/>
        <w:autoSpaceDE w:val="0"/>
        <w:autoSpaceDN w:val="0"/>
        <w:adjustRightInd w:val="0"/>
        <w:snapToGrid w:val="0"/>
        <w:spacing w:before="186" w:line="580" w:lineRule="exact"/>
        <w:jc w:val="center"/>
        <w:textAlignment w:val="baseline"/>
        <w:rPr>
          <w:rFonts w:ascii="方正小标宋简体" w:hAnsi="方正小标宋简体" w:eastAsia="方正小标宋简体" w:cs="方正小标宋简体"/>
          <w:snapToGrid w:val="0"/>
          <w:color w:val="000000"/>
          <w:spacing w:val="-1"/>
          <w:kern w:val="0"/>
          <w:sz w:val="48"/>
          <w:szCs w:val="48"/>
          <w:lang w:eastAsia="en-US"/>
        </w:rPr>
      </w:pPr>
    </w:p>
    <w:p w14:paraId="1B347188">
      <w:pPr>
        <w:widowControl/>
        <w:kinsoku w:val="0"/>
        <w:autoSpaceDE w:val="0"/>
        <w:autoSpaceDN w:val="0"/>
        <w:adjustRightInd w:val="0"/>
        <w:snapToGrid w:val="0"/>
        <w:spacing w:before="186" w:line="580" w:lineRule="exact"/>
        <w:jc w:val="center"/>
        <w:textAlignment w:val="baseline"/>
        <w:rPr>
          <w:rFonts w:ascii="方正小标宋简体" w:hAnsi="方正小标宋简体" w:eastAsia="方正小标宋简体" w:cs="方正小标宋简体"/>
          <w:snapToGrid w:val="0"/>
          <w:color w:val="000000"/>
          <w:spacing w:val="-1"/>
          <w:kern w:val="0"/>
          <w:sz w:val="48"/>
          <w:szCs w:val="48"/>
          <w:lang w:eastAsia="en-US"/>
        </w:rPr>
      </w:pPr>
    </w:p>
    <w:p w14:paraId="45C9BE7A">
      <w:pPr>
        <w:widowControl/>
        <w:kinsoku w:val="0"/>
        <w:autoSpaceDE w:val="0"/>
        <w:autoSpaceDN w:val="0"/>
        <w:adjustRightInd w:val="0"/>
        <w:snapToGrid w:val="0"/>
        <w:spacing w:before="186" w:line="580" w:lineRule="exact"/>
        <w:jc w:val="center"/>
        <w:textAlignment w:val="baseline"/>
        <w:rPr>
          <w:rFonts w:ascii="方正小标宋简体" w:hAnsi="方正小标宋简体" w:eastAsia="方正小标宋简体" w:cs="方正小标宋简体"/>
          <w:snapToGrid w:val="0"/>
          <w:color w:val="000000"/>
          <w:spacing w:val="-1"/>
          <w:kern w:val="0"/>
          <w:sz w:val="48"/>
          <w:szCs w:val="48"/>
          <w:lang w:eastAsia="en-US"/>
        </w:rPr>
      </w:pPr>
    </w:p>
    <w:p w14:paraId="5167D20E">
      <w:pPr>
        <w:widowControl/>
        <w:kinsoku w:val="0"/>
        <w:autoSpaceDE w:val="0"/>
        <w:autoSpaceDN w:val="0"/>
        <w:adjustRightInd w:val="0"/>
        <w:snapToGrid w:val="0"/>
        <w:spacing w:before="186" w:line="580" w:lineRule="exact"/>
        <w:jc w:val="center"/>
        <w:textAlignment w:val="baseline"/>
        <w:rPr>
          <w:rFonts w:ascii="方正小标宋简体" w:hAnsi="方正小标宋简体" w:eastAsia="方正小标宋简体" w:cs="方正小标宋简体"/>
          <w:snapToGrid w:val="0"/>
          <w:color w:val="000000"/>
          <w:spacing w:val="-1"/>
          <w:kern w:val="0"/>
          <w:sz w:val="48"/>
          <w:szCs w:val="48"/>
        </w:rPr>
      </w:pPr>
      <w:r>
        <w:rPr>
          <w:rFonts w:ascii="方正小标宋简体" w:hAnsi="方正小标宋简体" w:eastAsia="方正小标宋简体" w:cs="方正小标宋简体"/>
          <w:snapToGrid w:val="0"/>
          <w:color w:val="000000"/>
          <w:spacing w:val="-1"/>
          <w:kern w:val="0"/>
          <w:sz w:val="48"/>
          <w:szCs w:val="48"/>
          <w:lang w:eastAsia="en-US"/>
        </w:rPr>
        <w:t>技 术 文 件</w:t>
      </w:r>
    </w:p>
    <w:p w14:paraId="16F2432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596A17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ACC425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EC4D15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61744B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9BE79D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D756D3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ECD1C8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2D8A5E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B09549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6F08FD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71F4EA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E555F0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0D96E8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D6F8F2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30ED0AA">
      <w:pPr>
        <w:widowControl/>
        <w:jc w:val="center"/>
        <w:rPr>
          <w:rFonts w:ascii="方正小标宋简体" w:hAnsi="方正小标宋简体" w:eastAsia="方正小标宋简体" w:cs="方正小标宋简体"/>
          <w:snapToGrid w:val="0"/>
          <w:color w:val="000000"/>
          <w:spacing w:val="-37"/>
          <w:kern w:val="0"/>
          <w:sz w:val="44"/>
          <w:szCs w:val="44"/>
        </w:rPr>
      </w:pPr>
    </w:p>
    <w:p w14:paraId="11A9B2B1">
      <w:pPr>
        <w:widowControl/>
        <w:jc w:val="center"/>
        <w:rPr>
          <w:rFonts w:ascii="方正小标宋简体" w:hAnsi="方正小标宋简体" w:eastAsia="方正小标宋简体" w:cs="方正小标宋简体"/>
          <w:snapToGrid w:val="0"/>
          <w:color w:val="000000"/>
          <w:spacing w:val="-37"/>
          <w:kern w:val="0"/>
          <w:sz w:val="44"/>
          <w:szCs w:val="44"/>
        </w:rPr>
      </w:pPr>
    </w:p>
    <w:p w14:paraId="42195D59">
      <w:pPr>
        <w:widowControl/>
        <w:jc w:val="center"/>
        <w:rPr>
          <w:rFonts w:ascii="方正小标宋简体" w:hAnsi="方正小标宋简体" w:eastAsia="方正小标宋简体" w:cs="方正小标宋简体"/>
          <w:snapToGrid w:val="0"/>
          <w:color w:val="000000"/>
          <w:spacing w:val="-37"/>
          <w:kern w:val="0"/>
          <w:sz w:val="44"/>
          <w:szCs w:val="44"/>
        </w:rPr>
      </w:pPr>
    </w:p>
    <w:p w14:paraId="6706B709">
      <w:pPr>
        <w:widowControl/>
        <w:jc w:val="center"/>
        <w:rPr>
          <w:rFonts w:ascii="方正小标宋简体" w:hAnsi="方正小标宋简体" w:eastAsia="方正小标宋简体" w:cs="方正小标宋简体"/>
          <w:snapToGrid w:val="0"/>
          <w:color w:val="000000"/>
          <w:spacing w:val="-37"/>
          <w:kern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napToGrid w:val="0"/>
          <w:color w:val="000000"/>
          <w:spacing w:val="-37"/>
          <w:kern w:val="0"/>
          <w:sz w:val="44"/>
          <w:szCs w:val="44"/>
        </w:rPr>
        <w:t>目   录</w:t>
      </w:r>
    </w:p>
    <w:p w14:paraId="7308D1CF">
      <w:pPr>
        <w:kinsoku w:val="0"/>
        <w:autoSpaceDE w:val="0"/>
        <w:autoSpaceDN w:val="0"/>
        <w:adjustRightInd w:val="0"/>
        <w:snapToGrid w:val="0"/>
        <w:spacing w:before="104" w:line="580" w:lineRule="exact"/>
        <w:ind w:left="454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spacing w:val="-8"/>
          <w:kern w:val="0"/>
          <w:sz w:val="32"/>
          <w:szCs w:val="32"/>
        </w:rPr>
      </w:pPr>
    </w:p>
    <w:p w14:paraId="426AF545">
      <w:pPr>
        <w:kinsoku w:val="0"/>
        <w:autoSpaceDE w:val="0"/>
        <w:autoSpaceDN w:val="0"/>
        <w:adjustRightInd w:val="0"/>
        <w:snapToGrid w:val="0"/>
        <w:spacing w:before="104" w:line="580" w:lineRule="exact"/>
        <w:ind w:left="454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spacing w:val="-8"/>
          <w:kern w:val="0"/>
          <w:sz w:val="32"/>
          <w:szCs w:val="32"/>
        </w:rPr>
      </w:pPr>
    </w:p>
    <w:p w14:paraId="07A8B0E2">
      <w:pPr>
        <w:kinsoku w:val="0"/>
        <w:autoSpaceDE w:val="0"/>
        <w:autoSpaceDN w:val="0"/>
        <w:adjustRightInd w:val="0"/>
        <w:snapToGrid w:val="0"/>
        <w:spacing w:before="104" w:line="580" w:lineRule="exact"/>
        <w:ind w:left="454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spacing w:val="-8"/>
          <w:kern w:val="0"/>
          <w:sz w:val="32"/>
          <w:szCs w:val="32"/>
          <w:lang w:eastAsia="en-US"/>
        </w:rPr>
      </w:pPr>
      <w:r>
        <w:rPr>
          <w:rFonts w:ascii="仿宋_GB2312" w:hAnsi="仿宋_GB2312" w:eastAsia="仿宋_GB2312" w:cs="仿宋_GB2312"/>
          <w:snapToGrid w:val="0"/>
          <w:color w:val="000000"/>
          <w:spacing w:val="-8"/>
          <w:kern w:val="0"/>
          <w:sz w:val="32"/>
          <w:szCs w:val="32"/>
          <w:lang w:eastAsia="en-US"/>
        </w:rPr>
        <w:t>一、编制依据</w:t>
      </w:r>
    </w:p>
    <w:p w14:paraId="6D96950E">
      <w:pPr>
        <w:kinsoku w:val="0"/>
        <w:autoSpaceDE w:val="0"/>
        <w:autoSpaceDN w:val="0"/>
        <w:adjustRightInd w:val="0"/>
        <w:snapToGrid w:val="0"/>
        <w:spacing w:before="104" w:line="580" w:lineRule="exact"/>
        <w:ind w:left="454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spacing w:val="-8"/>
          <w:kern w:val="0"/>
          <w:sz w:val="32"/>
          <w:szCs w:val="32"/>
          <w:lang w:eastAsia="en-US"/>
        </w:rPr>
      </w:pPr>
      <w:r>
        <w:rPr>
          <w:rFonts w:ascii="仿宋_GB2312" w:hAnsi="仿宋_GB2312" w:eastAsia="仿宋_GB2312" w:cs="仿宋_GB2312"/>
          <w:snapToGrid w:val="0"/>
          <w:color w:val="000000"/>
          <w:spacing w:val="-8"/>
          <w:kern w:val="0"/>
          <w:sz w:val="32"/>
          <w:szCs w:val="32"/>
          <w:lang w:eastAsia="en-US"/>
        </w:rPr>
        <w:t>二、技术描述</w:t>
      </w:r>
    </w:p>
    <w:p w14:paraId="44E13AD0">
      <w:pPr>
        <w:kinsoku w:val="0"/>
        <w:autoSpaceDE w:val="0"/>
        <w:autoSpaceDN w:val="0"/>
        <w:adjustRightInd w:val="0"/>
        <w:snapToGrid w:val="0"/>
        <w:spacing w:before="104" w:line="580" w:lineRule="exact"/>
        <w:ind w:left="454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spacing w:val="-8"/>
          <w:kern w:val="0"/>
          <w:sz w:val="32"/>
          <w:szCs w:val="32"/>
          <w:lang w:eastAsia="en-US"/>
        </w:rPr>
      </w:pPr>
      <w:r>
        <w:rPr>
          <w:rFonts w:ascii="仿宋_GB2312" w:hAnsi="仿宋_GB2312" w:eastAsia="仿宋_GB2312" w:cs="仿宋_GB2312"/>
          <w:snapToGrid w:val="0"/>
          <w:color w:val="000000"/>
          <w:spacing w:val="-8"/>
          <w:kern w:val="0"/>
          <w:sz w:val="32"/>
          <w:szCs w:val="32"/>
          <w:lang w:eastAsia="en-US"/>
        </w:rPr>
        <w:t>三、技术纲要</w:t>
      </w:r>
    </w:p>
    <w:p w14:paraId="0F9A19CD">
      <w:pPr>
        <w:kinsoku w:val="0"/>
        <w:autoSpaceDE w:val="0"/>
        <w:autoSpaceDN w:val="0"/>
        <w:adjustRightInd w:val="0"/>
        <w:snapToGrid w:val="0"/>
        <w:spacing w:before="104" w:line="580" w:lineRule="exact"/>
        <w:ind w:left="454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spacing w:val="-8"/>
          <w:kern w:val="0"/>
          <w:sz w:val="32"/>
          <w:szCs w:val="32"/>
          <w:lang w:eastAsia="en-US"/>
        </w:rPr>
      </w:pPr>
      <w:r>
        <w:rPr>
          <w:rFonts w:ascii="仿宋_GB2312" w:hAnsi="仿宋_GB2312" w:eastAsia="仿宋_GB2312" w:cs="仿宋_GB2312"/>
          <w:snapToGrid w:val="0"/>
          <w:color w:val="000000"/>
          <w:spacing w:val="-8"/>
          <w:kern w:val="0"/>
          <w:sz w:val="32"/>
          <w:szCs w:val="32"/>
          <w:lang w:eastAsia="en-US"/>
        </w:rPr>
        <w:t>四、场地设施设备简述</w:t>
      </w:r>
    </w:p>
    <w:p w14:paraId="25DC97F4">
      <w:pPr>
        <w:kinsoku w:val="0"/>
        <w:autoSpaceDE w:val="0"/>
        <w:autoSpaceDN w:val="0"/>
        <w:adjustRightInd w:val="0"/>
        <w:snapToGrid w:val="0"/>
        <w:spacing w:before="104" w:line="580" w:lineRule="exact"/>
        <w:ind w:left="454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spacing w:val="-8"/>
          <w:kern w:val="0"/>
          <w:sz w:val="32"/>
          <w:szCs w:val="32"/>
          <w:lang w:eastAsia="en-US"/>
        </w:rPr>
      </w:pPr>
      <w:r>
        <w:rPr>
          <w:rFonts w:ascii="仿宋_GB2312" w:hAnsi="仿宋_GB2312" w:eastAsia="仿宋_GB2312" w:cs="仿宋_GB2312"/>
          <w:snapToGrid w:val="0"/>
          <w:color w:val="000000"/>
          <w:spacing w:val="-8"/>
          <w:kern w:val="0"/>
          <w:sz w:val="32"/>
          <w:szCs w:val="32"/>
          <w:lang w:eastAsia="en-US"/>
        </w:rPr>
        <w:t>五、技术团队组成人员</w:t>
      </w:r>
    </w:p>
    <w:p w14:paraId="1ABE3440">
      <w:pPr>
        <w:kinsoku w:val="0"/>
        <w:autoSpaceDE w:val="0"/>
        <w:autoSpaceDN w:val="0"/>
        <w:adjustRightInd w:val="0"/>
        <w:snapToGrid w:val="0"/>
        <w:spacing w:before="104" w:line="580" w:lineRule="exact"/>
        <w:ind w:left="454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spacing w:val="-8"/>
          <w:kern w:val="0"/>
          <w:sz w:val="32"/>
          <w:szCs w:val="32"/>
          <w:lang w:eastAsia="en-US"/>
        </w:rPr>
      </w:pPr>
      <w:r>
        <w:rPr>
          <w:rFonts w:ascii="仿宋_GB2312" w:hAnsi="仿宋_GB2312" w:eastAsia="仿宋_GB2312" w:cs="仿宋_GB2312"/>
          <w:snapToGrid w:val="0"/>
          <w:color w:val="000000"/>
          <w:spacing w:val="-8"/>
          <w:kern w:val="0"/>
          <w:sz w:val="32"/>
          <w:szCs w:val="32"/>
          <w:lang w:eastAsia="en-US"/>
        </w:rPr>
        <w:t>六、纪律要求</w:t>
      </w:r>
    </w:p>
    <w:p w14:paraId="0DE72F1B">
      <w:pPr>
        <w:kinsoku w:val="0"/>
        <w:autoSpaceDE w:val="0"/>
        <w:autoSpaceDN w:val="0"/>
        <w:adjustRightInd w:val="0"/>
        <w:snapToGrid w:val="0"/>
        <w:spacing w:before="104" w:line="580" w:lineRule="exact"/>
        <w:ind w:left="454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-8"/>
          <w:kern w:val="0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snapToGrid w:val="0"/>
          <w:color w:val="000000"/>
          <w:spacing w:val="-8"/>
          <w:kern w:val="0"/>
          <w:sz w:val="32"/>
          <w:szCs w:val="32"/>
          <w:lang w:eastAsia="en-US"/>
        </w:rPr>
        <w:t>七、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8"/>
          <w:kern w:val="0"/>
          <w:sz w:val="32"/>
          <w:szCs w:val="32"/>
          <w:lang w:val="en-US" w:eastAsia="zh-CN"/>
        </w:rPr>
        <w:t>题库</w:t>
      </w:r>
    </w:p>
    <w:p w14:paraId="7906C69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3FDA05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D1B717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A31C08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9DDD12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D31EE0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45C013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2D67DF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DB36E1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2F8F3A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581F9C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FAE1B3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49C30D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3FE0667">
      <w:pPr>
        <w:widowControl/>
        <w:autoSpaceDE w:val="0"/>
        <w:autoSpaceDN w:val="0"/>
        <w:adjustRightInd w:val="0"/>
        <w:snapToGrid w:val="0"/>
        <w:spacing w:line="590" w:lineRule="exact"/>
        <w:ind w:left="659"/>
        <w:jc w:val="left"/>
        <w:textAlignment w:val="baseline"/>
        <w:outlineLvl w:val="1"/>
        <w:rPr>
          <w:rFonts w:ascii="Times New Roman" w:hAnsi="Times New Roman" w:eastAsia="黑体" w:cs="Times New Roman"/>
          <w:snapToGrid w:val="0"/>
          <w:color w:val="000000"/>
          <w:spacing w:val="-7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snapToGrid w:val="0"/>
          <w:color w:val="000000"/>
          <w:spacing w:val="-7"/>
          <w:kern w:val="0"/>
          <w:sz w:val="32"/>
          <w:szCs w:val="32"/>
        </w:rPr>
        <w:t>一、编制依据</w:t>
      </w:r>
    </w:p>
    <w:p w14:paraId="45AAF183">
      <w:pPr>
        <w:widowControl/>
        <w:spacing w:line="580" w:lineRule="exact"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本技术文件以《婴幼儿发展引导员</w:t>
      </w:r>
      <w:r>
        <w:rPr>
          <w:rFonts w:hint="eastAsia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》</w:t>
      </w: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国家职业技能标准（三级）为核心编制依据，考核内容全面覆盖国标80%以上知识与技能要点，严格遵循职业技能评价规范。同时深度对标国家及常州市</w:t>
      </w:r>
      <w:r>
        <w:rPr>
          <w:rFonts w:hint="eastAsia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“十五五”</w:t>
      </w: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托育服务发展规划相关要求，紧扣托育机构照护、家庭养育指导、婴幼儿安全防护、早期发展支持等行业发展新方向，立足本地托育机构、</w:t>
      </w:r>
      <w:r>
        <w:rPr>
          <w:rFonts w:hint="eastAsia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社区育儿服务和家庭照护等一线岗位的真实工作场景</w:t>
      </w: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设计赛项，坚持以赛促训、以赛促评、以赛促业，助力区域婴幼儿照护服务人才队伍专业化建设。</w:t>
      </w:r>
    </w:p>
    <w:p w14:paraId="0B231A35">
      <w:pPr>
        <w:widowControl/>
        <w:spacing w:line="580" w:lineRule="exact"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本次竞赛参考全国婴幼儿发展引导员职业技能竞赛成熟办赛模式、命题规则与评判体系，结合常州市托育行业人才培养、技能评价实际情况优化设计。赛题设置兼顾岗位实用性、技能专业性与人文服务理念，既考核标准化操作能力，也综合检验选手应急处置、沟通服务、家庭养育指导等综合素养，确保竞赛兼具权威性、公平性与行业引领性。</w:t>
      </w:r>
    </w:p>
    <w:p w14:paraId="5CB1142F">
      <w:pPr>
        <w:widowControl/>
        <w:autoSpaceDE w:val="0"/>
        <w:autoSpaceDN w:val="0"/>
        <w:adjustRightInd w:val="0"/>
        <w:snapToGrid w:val="0"/>
        <w:spacing w:line="590" w:lineRule="exact"/>
        <w:ind w:left="659"/>
        <w:jc w:val="left"/>
        <w:textAlignment w:val="baseline"/>
        <w:outlineLvl w:val="1"/>
        <w:rPr>
          <w:rFonts w:ascii="Times New Roman" w:hAnsi="Times New Roman" w:eastAsia="黑体" w:cs="Times New Roman"/>
          <w:snapToGrid w:val="0"/>
          <w:color w:val="000000"/>
          <w:spacing w:val="-7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snapToGrid w:val="0"/>
          <w:color w:val="000000"/>
          <w:spacing w:val="-7"/>
          <w:kern w:val="0"/>
          <w:sz w:val="32"/>
          <w:szCs w:val="32"/>
        </w:rPr>
        <w:t>二、技术描述</w:t>
      </w:r>
    </w:p>
    <w:p w14:paraId="10602582">
      <w:pPr>
        <w:keepLines w:val="0"/>
        <w:pageBreakBefore w:val="0"/>
        <w:widowControl/>
        <w:kinsoku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24" w:firstLineChars="200"/>
        <w:jc w:val="left"/>
        <w:textAlignment w:val="baseline"/>
        <w:outlineLvl w:val="2"/>
        <w:rPr>
          <w:rFonts w:ascii="Times New Roman" w:hAnsi="Times New Roman" w:eastAsia="方正楷体_GB2312" w:cs="Times New Roman"/>
          <w:snapToGrid w:val="0"/>
          <w:color w:val="000000"/>
          <w:spacing w:val="-4"/>
          <w:kern w:val="0"/>
          <w:sz w:val="32"/>
          <w:szCs w:val="32"/>
          <w:lang w:eastAsia="en-US"/>
        </w:rPr>
      </w:pPr>
      <w:r>
        <w:rPr>
          <w:rFonts w:ascii="Times New Roman" w:hAnsi="Times New Roman" w:eastAsia="方正楷体_GB2312" w:cs="Times New Roman"/>
          <w:snapToGrid w:val="0"/>
          <w:color w:val="000000"/>
          <w:spacing w:val="-4"/>
          <w:kern w:val="0"/>
          <w:sz w:val="32"/>
          <w:szCs w:val="32"/>
          <w:lang w:eastAsia="en-US"/>
        </w:rPr>
        <w:t>（一）赛项概要</w:t>
      </w:r>
    </w:p>
    <w:p w14:paraId="2E9A2CA4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本赛项面向常州市婴幼儿照护在岗职工、托育相关专业在校学生，聚焦三级婴幼儿发展引导员核心岗位能力，全方位考核选手专业理论、实操技能、意外伤害应急处置、亲子互动、家庭养育指导及职业综合素养。竞赛分为理论知识考试、操作技能考核两大板块，理论知识考试采用标准化机考形式，依托专业考试系统进行作答，重点检验选手知识储备、制度认知与行业理解；操作技能考核采用实景模拟方式，高度还原托育机构、家庭照护的典型工作场景，融合现场操作、情景模拟、口头讲解等多种考核形式，全面考查选手岗位实操能力与综合服务水平，以赛事为抓手推动全市婴幼儿发展引导职业技能整体提升。</w:t>
      </w:r>
    </w:p>
    <w:p w14:paraId="6BAF61FF">
      <w:pPr>
        <w:keepLines w:val="0"/>
        <w:pageBreakBefore w:val="0"/>
        <w:widowControl/>
        <w:kinsoku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24" w:firstLineChars="200"/>
        <w:jc w:val="left"/>
        <w:textAlignment w:val="baseline"/>
        <w:outlineLvl w:val="2"/>
        <w:rPr>
          <w:rFonts w:ascii="Times New Roman" w:hAnsi="Times New Roman" w:eastAsia="方正楷体_GB2312" w:cs="Times New Roman"/>
          <w:snapToGrid w:val="0"/>
          <w:color w:val="000000"/>
          <w:spacing w:val="-4"/>
          <w:kern w:val="0"/>
          <w:sz w:val="32"/>
          <w:szCs w:val="32"/>
          <w:lang w:eastAsia="en-US"/>
        </w:rPr>
      </w:pPr>
      <w:r>
        <w:rPr>
          <w:rFonts w:ascii="Times New Roman" w:hAnsi="Times New Roman" w:eastAsia="方正楷体_GB2312" w:cs="Times New Roman"/>
          <w:snapToGrid w:val="0"/>
          <w:color w:val="000000"/>
          <w:spacing w:val="-4"/>
          <w:kern w:val="0"/>
          <w:sz w:val="32"/>
          <w:szCs w:val="32"/>
          <w:lang w:eastAsia="en-US"/>
        </w:rPr>
        <w:t>（二）能力特征</w:t>
      </w:r>
    </w:p>
    <w:p w14:paraId="1BA6BE7D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依据《婴幼儿发展引导员国家职业技能标准》（三级/高级工）岗位要求，参赛选手需系统掌握0</w:t>
      </w: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noBreakHyphen/>
      </w: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3岁婴幼儿生理心理发育特点、营养喂养、常见病识别、安全防护及托育相关法律法规等理论知识，能够依托专业知识开展各类照护引导工作；熟练完成孕产期指导、生活照料指导、伤害应急处置、家庭保健护理、婴幼儿情绪引导等基础照护引导工作，具备窒息、烧烫伤、磕碰外伤等突发意外伤害的应急处置能力；可独立开展婴幼儿观察评估、亲子课程设计组织、游戏活动实施等早期发展支持工作；擅长与婴幼儿、婴幼儿照护者沟通交流，能够化解养育矛盾、疏导家长焦虑情绪、识别婴幼儿发育预警信号并规范提示转介；同时具备对初级、中级从业人员业务指导，面向家长开展育儿科普讲座、家庭养育指导、简易亲子活动方案设计的能力，恪守职业道德，拥有较强的爱心、耐心、责任心与安全意识，全面适配三级/高级工婴幼儿发展引导员岗位履职要求。</w:t>
      </w:r>
    </w:p>
    <w:p w14:paraId="66E68C90">
      <w:pPr>
        <w:widowControl/>
        <w:autoSpaceDE w:val="0"/>
        <w:autoSpaceDN w:val="0"/>
        <w:adjustRightInd w:val="0"/>
        <w:snapToGrid w:val="0"/>
        <w:spacing w:line="590" w:lineRule="exact"/>
        <w:ind w:left="659"/>
        <w:jc w:val="left"/>
        <w:textAlignment w:val="baseline"/>
        <w:outlineLvl w:val="1"/>
        <w:rPr>
          <w:rFonts w:ascii="Times New Roman" w:hAnsi="Times New Roman" w:eastAsia="黑体" w:cs="Times New Roman"/>
          <w:snapToGrid w:val="0"/>
          <w:color w:val="000000"/>
          <w:spacing w:val="-7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snapToGrid w:val="0"/>
          <w:color w:val="000000"/>
          <w:spacing w:val="-7"/>
          <w:kern w:val="0"/>
          <w:sz w:val="32"/>
          <w:szCs w:val="32"/>
        </w:rPr>
        <w:t>三、技术纲要</w:t>
      </w:r>
    </w:p>
    <w:p w14:paraId="35AB5145">
      <w:pPr>
        <w:keepLines w:val="0"/>
        <w:pageBreakBefore w:val="0"/>
        <w:widowControl/>
        <w:kinsoku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24" w:firstLineChars="200"/>
        <w:jc w:val="left"/>
        <w:textAlignment w:val="baseline"/>
        <w:outlineLvl w:val="2"/>
        <w:rPr>
          <w:rFonts w:ascii="Times New Roman" w:hAnsi="Times New Roman" w:eastAsia="方正楷体_GB2312" w:cs="Times New Roman"/>
          <w:snapToGrid w:val="0"/>
          <w:color w:val="000000"/>
          <w:spacing w:val="-4"/>
          <w:kern w:val="0"/>
          <w:sz w:val="32"/>
          <w:szCs w:val="32"/>
          <w:lang w:eastAsia="en-US"/>
        </w:rPr>
      </w:pPr>
      <w:r>
        <w:rPr>
          <w:rFonts w:ascii="Times New Roman" w:hAnsi="Times New Roman" w:eastAsia="方正楷体_GB2312" w:cs="Times New Roman"/>
          <w:snapToGrid w:val="0"/>
          <w:color w:val="000000"/>
          <w:spacing w:val="-4"/>
          <w:kern w:val="0"/>
          <w:sz w:val="32"/>
          <w:szCs w:val="32"/>
          <w:lang w:eastAsia="en-US"/>
        </w:rPr>
        <w:t>（一）赛制</w:t>
      </w:r>
    </w:p>
    <w:p w14:paraId="714ADC1B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本次三级婴幼儿发展引导员竞赛采用“理论知识考试+操作技能考核”组合赛制，全程为单人竞赛形式。赛项分阶段依次进行，首先开展理论知识机考，单人考试时长60分钟，随后进行现场操作技能考核，单人考试时长30分钟，操作考核内容全面覆盖孕产期指导、照料与安全指导、发展引导、指导与培训四大核心模块。选手完成全部考核项目后综合两项成绩确定最终排名。竞赛全程音视频同步存档，总成绩相同时，按照操作技能分数高低优先排序。</w:t>
      </w:r>
    </w:p>
    <w:p w14:paraId="5FEAE9A0">
      <w:pPr>
        <w:keepLines w:val="0"/>
        <w:pageBreakBefore w:val="0"/>
        <w:widowControl/>
        <w:kinsoku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24" w:firstLineChars="200"/>
        <w:jc w:val="left"/>
        <w:textAlignment w:val="baseline"/>
        <w:outlineLvl w:val="2"/>
        <w:rPr>
          <w:rFonts w:ascii="Times New Roman" w:hAnsi="Times New Roman" w:eastAsia="方正楷体_GB2312" w:cs="Times New Roman"/>
          <w:snapToGrid w:val="0"/>
          <w:color w:val="000000"/>
          <w:spacing w:val="-4"/>
          <w:kern w:val="0"/>
          <w:sz w:val="32"/>
          <w:szCs w:val="32"/>
          <w:lang w:eastAsia="en-US"/>
        </w:rPr>
      </w:pPr>
      <w:r>
        <w:rPr>
          <w:rFonts w:ascii="Times New Roman" w:hAnsi="Times New Roman" w:eastAsia="方正楷体_GB2312" w:cs="Times New Roman"/>
          <w:snapToGrid w:val="0"/>
          <w:color w:val="000000"/>
          <w:spacing w:val="-4"/>
          <w:kern w:val="0"/>
          <w:sz w:val="32"/>
          <w:szCs w:val="32"/>
          <w:lang w:eastAsia="en-US"/>
        </w:rPr>
        <w:t>（二）科目</w:t>
      </w:r>
    </w:p>
    <w:p w14:paraId="02DBF319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本赛项设“理论知识+操作技能”2个科目。</w:t>
      </w:r>
    </w:p>
    <w:p w14:paraId="4D7CC781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理论知识科目采用机考形式，考试时间为60分钟，满分100分，60分及以上为合格</w:t>
      </w: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。题型包含单选题、多选题、判断题，内容涵盖职业道德、法律法规、婴幼儿基础理论、照料指导、安全指导、健康指导、发展引导、家庭养育咨询、培训指导等相关知识，全面考查选手理论功底、知识理解与实际应用能力。</w:t>
      </w:r>
    </w:p>
    <w:p w14:paraId="1205C84E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操作技能科目采用实景模拟考核形式，考试时间为</w:t>
      </w:r>
      <w:r>
        <w:rPr>
          <w:rFonts w:hint="eastAsia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  <w:lang w:val="en-US" w:eastAsia="zh-CN"/>
        </w:rPr>
        <w:t>40</w:t>
      </w:r>
      <w:bookmarkStart w:id="0" w:name="_GoBack"/>
      <w:bookmarkEnd w:id="0"/>
      <w:r>
        <w:rPr>
          <w:rFonts w:hint="eastAsia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分钟，满分100分，60分及以上为合格。</w:t>
      </w: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技能考核结合现场操作、情景模拟、口头讲授等多种方式，综合考查选手在孕产期指导、意外伤害应急处置、家庭保健护理、生活照料指导等基础照护引导工作中的规范操作与风险防控能力；同时检验选手开展婴幼儿行为观察记录、亲子课程设计实施、游戏活动组织等早期发展支持服务的实操与指导水平；以及和婴幼儿、家长沟通、养育矛盾化解、情绪疏导、发育异常识别提示等专业能力；此外还考核选手面向照护者开展育儿科普、业务带教、家庭养育指导、简易活动方案设计的教学指导能力，全方位衡量选手综合岗位技能与服务素养。本次竞赛总成绩计算方式为：总成绩=理论知识成绩×20% +操作技能成绩×80%，总成绩满分为100分（60分以上合格）。</w:t>
      </w:r>
    </w:p>
    <w:p w14:paraId="07F0C3A5">
      <w:pPr>
        <w:keepLines w:val="0"/>
        <w:pageBreakBefore w:val="0"/>
        <w:widowControl/>
        <w:kinsoku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48" w:firstLineChars="200"/>
        <w:jc w:val="left"/>
        <w:textAlignment w:val="baseline"/>
        <w:outlineLvl w:val="2"/>
        <w:rPr>
          <w:rFonts w:ascii="Times New Roman" w:hAnsi="Times New Roman" w:eastAsia="方正楷体_GB2312" w:cs="Times New Roman"/>
          <w:snapToGrid w:val="0"/>
          <w:color w:val="000000"/>
          <w:spacing w:val="-4"/>
          <w:kern w:val="0"/>
          <w:sz w:val="32"/>
          <w:szCs w:val="32"/>
          <w:lang w:eastAsia="en-US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两场考核均结束后，综合两场成绩得出最终排名，作为选手竞赛成果的评定依据。为保证竞赛公平性与规范性，本次大赛采取机考和裁判现场评分等方式，考试全程录像存档。综合总分同分情况下，操作技能分高者排名靠前。若操作技能成绩同分，发展引导模块分高者排名靠前。</w:t>
      </w:r>
    </w:p>
    <w:p w14:paraId="5C57804B">
      <w:pPr>
        <w:keepLines w:val="0"/>
        <w:pageBreakBefore w:val="0"/>
        <w:widowControl/>
        <w:kinsoku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24" w:firstLineChars="200"/>
        <w:jc w:val="left"/>
        <w:textAlignment w:val="baseline"/>
        <w:outlineLvl w:val="2"/>
        <w:rPr>
          <w:rFonts w:ascii="Times New Roman" w:hAnsi="Times New Roman" w:eastAsia="方正楷体_GB2312" w:cs="Times New Roman"/>
          <w:snapToGrid w:val="0"/>
          <w:color w:val="000000"/>
          <w:spacing w:val="-4"/>
          <w:kern w:val="0"/>
          <w:sz w:val="32"/>
          <w:szCs w:val="32"/>
          <w:lang w:eastAsia="en-US"/>
        </w:rPr>
      </w:pPr>
      <w:r>
        <w:rPr>
          <w:rFonts w:ascii="Times New Roman" w:hAnsi="Times New Roman" w:eastAsia="方正楷体_GB2312" w:cs="Times New Roman"/>
          <w:snapToGrid w:val="0"/>
          <w:color w:val="000000"/>
          <w:spacing w:val="-4"/>
          <w:kern w:val="0"/>
          <w:sz w:val="32"/>
          <w:szCs w:val="32"/>
          <w:lang w:eastAsia="en-US"/>
        </w:rPr>
        <w:t>（三）权重表</w:t>
      </w:r>
    </w:p>
    <w:tbl>
      <w:tblPr>
        <w:tblStyle w:val="10"/>
        <w:tblW w:w="5178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83"/>
        <w:gridCol w:w="3438"/>
        <w:gridCol w:w="2781"/>
      </w:tblGrid>
      <w:tr w14:paraId="405B1F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4" w:hRule="atLeast"/>
          <w:tblHeader/>
        </w:trPr>
        <w:tc>
          <w:tcPr>
            <w:tcW w:w="138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6320C1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科目</w:t>
            </w:r>
          </w:p>
        </w:tc>
        <w:tc>
          <w:tcPr>
            <w:tcW w:w="19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EC64C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模块</w:t>
            </w:r>
          </w:p>
        </w:tc>
        <w:tc>
          <w:tcPr>
            <w:tcW w:w="161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E2156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权重 (%)</w:t>
            </w:r>
          </w:p>
        </w:tc>
      </w:tr>
      <w:tr w14:paraId="227900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" w:hRule="atLeast"/>
        </w:trPr>
        <w:tc>
          <w:tcPr>
            <w:tcW w:w="1385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CE95D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理论知识</w:t>
            </w:r>
          </w:p>
        </w:tc>
        <w:tc>
          <w:tcPr>
            <w:tcW w:w="19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5814C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职业道德</w:t>
            </w:r>
          </w:p>
        </w:tc>
        <w:tc>
          <w:tcPr>
            <w:tcW w:w="161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21F9C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</w:tr>
      <w:tr w14:paraId="20A639B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4" w:hRule="atLeast"/>
        </w:trPr>
        <w:tc>
          <w:tcPr>
            <w:tcW w:w="138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0F05C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9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5CE2D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基础知识</w:t>
            </w:r>
          </w:p>
        </w:tc>
        <w:tc>
          <w:tcPr>
            <w:tcW w:w="161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77BD4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</w:t>
            </w:r>
          </w:p>
        </w:tc>
      </w:tr>
      <w:tr w14:paraId="1B6462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" w:hRule="atLeast"/>
        </w:trPr>
        <w:tc>
          <w:tcPr>
            <w:tcW w:w="138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002BC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9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9BF0B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孕产期指导</w:t>
            </w:r>
          </w:p>
        </w:tc>
        <w:tc>
          <w:tcPr>
            <w:tcW w:w="161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6DA51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10</w:t>
            </w:r>
          </w:p>
        </w:tc>
      </w:tr>
      <w:tr w14:paraId="36F604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4" w:hRule="atLeast"/>
        </w:trPr>
        <w:tc>
          <w:tcPr>
            <w:tcW w:w="138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251E8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9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10E51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照料指导</w:t>
            </w:r>
          </w:p>
        </w:tc>
        <w:tc>
          <w:tcPr>
            <w:tcW w:w="161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31076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20</w:t>
            </w:r>
          </w:p>
        </w:tc>
      </w:tr>
      <w:tr w14:paraId="4C26BB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4" w:hRule="atLeast"/>
        </w:trPr>
        <w:tc>
          <w:tcPr>
            <w:tcW w:w="138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09870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9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8D3ED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安全指导</w:t>
            </w:r>
          </w:p>
        </w:tc>
        <w:tc>
          <w:tcPr>
            <w:tcW w:w="161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B0227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02908A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" w:hRule="atLeast"/>
        </w:trPr>
        <w:tc>
          <w:tcPr>
            <w:tcW w:w="138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EEEF5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9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60056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健康指导</w:t>
            </w:r>
          </w:p>
        </w:tc>
        <w:tc>
          <w:tcPr>
            <w:tcW w:w="161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BB96A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6AA724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4" w:hRule="atLeast"/>
        </w:trPr>
        <w:tc>
          <w:tcPr>
            <w:tcW w:w="138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278CB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9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4D2AD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发展引导</w:t>
            </w:r>
          </w:p>
        </w:tc>
        <w:tc>
          <w:tcPr>
            <w:tcW w:w="161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7117B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20</w:t>
            </w:r>
          </w:p>
        </w:tc>
      </w:tr>
      <w:tr w14:paraId="74538C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" w:hRule="atLeast"/>
        </w:trPr>
        <w:tc>
          <w:tcPr>
            <w:tcW w:w="1385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328FC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9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C317C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指导与培训</w:t>
            </w:r>
          </w:p>
        </w:tc>
        <w:tc>
          <w:tcPr>
            <w:tcW w:w="161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739CC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10</w:t>
            </w:r>
          </w:p>
        </w:tc>
      </w:tr>
      <w:tr w14:paraId="6CD77F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4" w:hRule="atLeast"/>
        </w:trPr>
        <w:tc>
          <w:tcPr>
            <w:tcW w:w="138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434DB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9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095FB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合计</w:t>
            </w:r>
          </w:p>
        </w:tc>
        <w:tc>
          <w:tcPr>
            <w:tcW w:w="161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A8C69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100</w:t>
            </w:r>
          </w:p>
        </w:tc>
      </w:tr>
      <w:tr w14:paraId="7DCB19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4" w:hRule="atLeast"/>
        </w:trPr>
        <w:tc>
          <w:tcPr>
            <w:tcW w:w="1385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30DFC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操作技能</w:t>
            </w:r>
          </w:p>
        </w:tc>
        <w:tc>
          <w:tcPr>
            <w:tcW w:w="19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066E0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孕产期指导</w:t>
            </w:r>
          </w:p>
        </w:tc>
        <w:tc>
          <w:tcPr>
            <w:tcW w:w="161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B8B38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10</w:t>
            </w:r>
          </w:p>
        </w:tc>
      </w:tr>
      <w:tr w14:paraId="71E22B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4" w:hRule="atLeast"/>
        </w:trPr>
        <w:tc>
          <w:tcPr>
            <w:tcW w:w="138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B07BE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9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8E8FA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照料指导</w:t>
            </w:r>
          </w:p>
        </w:tc>
        <w:tc>
          <w:tcPr>
            <w:tcW w:w="161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29FD2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25</w:t>
            </w:r>
          </w:p>
        </w:tc>
      </w:tr>
      <w:tr w14:paraId="001D0B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4" w:hRule="atLeast"/>
        </w:trPr>
        <w:tc>
          <w:tcPr>
            <w:tcW w:w="138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3D254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9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CCFFE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安全指导</w:t>
            </w:r>
          </w:p>
        </w:tc>
        <w:tc>
          <w:tcPr>
            <w:tcW w:w="161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81D6E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20</w:t>
            </w:r>
          </w:p>
        </w:tc>
      </w:tr>
      <w:tr w14:paraId="4C14CA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4" w:hRule="atLeast"/>
        </w:trPr>
        <w:tc>
          <w:tcPr>
            <w:tcW w:w="138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5F679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9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16071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健康指导</w:t>
            </w:r>
          </w:p>
        </w:tc>
        <w:tc>
          <w:tcPr>
            <w:tcW w:w="161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1BB5A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10</w:t>
            </w:r>
          </w:p>
        </w:tc>
      </w:tr>
      <w:tr w14:paraId="7EBC96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" w:hRule="atLeast"/>
        </w:trPr>
        <w:tc>
          <w:tcPr>
            <w:tcW w:w="1385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BE934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9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25DDB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发展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指导</w:t>
            </w:r>
          </w:p>
        </w:tc>
        <w:tc>
          <w:tcPr>
            <w:tcW w:w="161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B6BEA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25</w:t>
            </w:r>
          </w:p>
        </w:tc>
      </w:tr>
      <w:tr w14:paraId="325CB7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4" w:hRule="atLeast"/>
        </w:trPr>
        <w:tc>
          <w:tcPr>
            <w:tcW w:w="1385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EBA4D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9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1F737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指导与培训</w:t>
            </w:r>
          </w:p>
        </w:tc>
        <w:tc>
          <w:tcPr>
            <w:tcW w:w="161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9C9DC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39D6F4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" w:hRule="atLeast"/>
        </w:trPr>
        <w:tc>
          <w:tcPr>
            <w:tcW w:w="138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FB60A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9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B8209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合计</w:t>
            </w:r>
          </w:p>
        </w:tc>
        <w:tc>
          <w:tcPr>
            <w:tcW w:w="161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C6271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100</w:t>
            </w:r>
          </w:p>
        </w:tc>
      </w:tr>
    </w:tbl>
    <w:p w14:paraId="3B452311">
      <w:pPr>
        <w:widowControl/>
        <w:autoSpaceDE w:val="0"/>
        <w:autoSpaceDN w:val="0"/>
        <w:adjustRightInd w:val="0"/>
        <w:snapToGrid w:val="0"/>
        <w:spacing w:line="590" w:lineRule="exact"/>
        <w:ind w:left="659"/>
        <w:jc w:val="left"/>
        <w:textAlignment w:val="baseline"/>
        <w:outlineLvl w:val="1"/>
        <w:rPr>
          <w:rFonts w:ascii="Times New Roman" w:hAnsi="Times New Roman" w:eastAsia="黑体" w:cs="Times New Roman"/>
          <w:snapToGrid w:val="0"/>
          <w:color w:val="000000"/>
          <w:spacing w:val="-7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snapToGrid w:val="0"/>
          <w:color w:val="000000"/>
          <w:spacing w:val="-7"/>
          <w:kern w:val="0"/>
          <w:sz w:val="32"/>
          <w:szCs w:val="32"/>
        </w:rPr>
        <w:t>四、场地设施设备简述</w:t>
      </w:r>
    </w:p>
    <w:p w14:paraId="665F24A8">
      <w:pPr>
        <w:keepLines w:val="0"/>
        <w:pageBreakBefore w:val="0"/>
        <w:widowControl/>
        <w:kinsoku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24" w:firstLineChars="200"/>
        <w:jc w:val="left"/>
        <w:textAlignment w:val="baseline"/>
        <w:outlineLvl w:val="2"/>
        <w:rPr>
          <w:rFonts w:ascii="Times New Roman" w:hAnsi="Times New Roman" w:eastAsia="方正楷体_GB2312" w:cs="Times New Roman"/>
          <w:snapToGrid w:val="0"/>
          <w:color w:val="000000"/>
          <w:spacing w:val="-4"/>
          <w:kern w:val="0"/>
          <w:sz w:val="32"/>
          <w:szCs w:val="32"/>
          <w:lang w:eastAsia="en-US"/>
        </w:rPr>
      </w:pPr>
      <w:r>
        <w:rPr>
          <w:rFonts w:ascii="Times New Roman" w:hAnsi="Times New Roman" w:eastAsia="方正楷体_GB2312" w:cs="Times New Roman"/>
          <w:snapToGrid w:val="0"/>
          <w:color w:val="000000"/>
          <w:spacing w:val="-4"/>
          <w:kern w:val="0"/>
          <w:sz w:val="32"/>
          <w:szCs w:val="32"/>
          <w:lang w:eastAsia="en-US"/>
        </w:rPr>
        <w:t>（一）场地规模</w:t>
      </w:r>
    </w:p>
    <w:p w14:paraId="6B0E26EE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本赛项在</w:t>
      </w:r>
      <w:r>
        <w:rPr>
          <w:rFonts w:hint="eastAsia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  <w:lang w:val="en-US" w:eastAsia="zh-CN"/>
        </w:rPr>
        <w:t>常州幼儿师范高等专科学校</w:t>
      </w: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举行，竞</w:t>
      </w:r>
      <w:r>
        <w:rPr>
          <w:rFonts w:hint="eastAsia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赛场地划分为理论考试区和操作技能考核区两个独立的功能区域。</w:t>
      </w: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理论考试区设置标准化机房</w:t>
      </w:r>
      <w:r>
        <w:rPr>
          <w:rFonts w:hint="eastAsia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间</w:t>
      </w: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，可同时容纳</w:t>
      </w:r>
      <w:r>
        <w:rPr>
          <w:rFonts w:hint="eastAsia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  <w:lang w:val="en-US" w:eastAsia="zh-CN"/>
        </w:rPr>
        <w:t>80</w:t>
      </w: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名选手上机考试。</w:t>
      </w:r>
    </w:p>
    <w:p w14:paraId="0F67E170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操作技能考核区按照</w:t>
      </w:r>
      <w:r>
        <w:rPr>
          <w:rFonts w:hint="eastAsia" w:ascii="仿宋" w:hAnsi="仿宋" w:eastAsia="仿宋" w:cs="Times New Roman"/>
          <w:snapToGrid w:val="0"/>
          <w:color w:val="auto"/>
          <w:spacing w:val="2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大考核模块分区布局，分别设置孕产期指导、照料与安全指导、发展引导、指导与培训专属考区，各区域相互独立、动线合理，完整还原托育机构与家庭照护实际工作场景，同时配套候考室、物品备存区、裁判工作区、技术支持人员工作区、医务人员工作区、志愿者工作区等多个工作区域，满足赛事全流程运行需求。</w:t>
      </w:r>
    </w:p>
    <w:p w14:paraId="0075D40F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全场设置应急疏散通道，通道全程保持畅通、无杂物遮挡，并张贴清晰疏散指引标识；各功能区域划分安全警戒标识线，明确选手行进路线、工作人员专用路线，实现人流分流，避免拥挤、交叉干扰。理论机房、实操考区、候考室均设置安全值守点位，安排专人定点巡查。赛场单独设立医疗应急专区，位置醒目、通达性强，保障突发情况快速处置。</w:t>
      </w:r>
    </w:p>
    <w:p w14:paraId="2E918843">
      <w:pPr>
        <w:keepLines w:val="0"/>
        <w:pageBreakBefore w:val="0"/>
        <w:widowControl/>
        <w:kinsoku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24" w:firstLineChars="200"/>
        <w:jc w:val="left"/>
        <w:textAlignment w:val="baseline"/>
        <w:outlineLvl w:val="2"/>
        <w:rPr>
          <w:rFonts w:ascii="Times New Roman" w:hAnsi="Times New Roman" w:eastAsia="方正楷体_GB2312" w:cs="Times New Roman"/>
          <w:snapToGrid w:val="0"/>
          <w:color w:val="000000"/>
          <w:spacing w:val="-4"/>
          <w:kern w:val="0"/>
          <w:sz w:val="32"/>
          <w:szCs w:val="32"/>
          <w:lang w:eastAsia="en-US"/>
        </w:rPr>
      </w:pPr>
      <w:r>
        <w:rPr>
          <w:rFonts w:ascii="Times New Roman" w:hAnsi="Times New Roman" w:eastAsia="方正楷体_GB2312" w:cs="Times New Roman"/>
          <w:snapToGrid w:val="0"/>
          <w:color w:val="000000"/>
          <w:spacing w:val="-4"/>
          <w:kern w:val="0"/>
          <w:sz w:val="32"/>
          <w:szCs w:val="32"/>
          <w:lang w:eastAsia="en-US"/>
        </w:rPr>
        <w:t>（二）设施条件</w:t>
      </w:r>
    </w:p>
    <w:tbl>
      <w:tblPr>
        <w:tblStyle w:val="10"/>
        <w:tblW w:w="4783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9"/>
        <w:gridCol w:w="2900"/>
        <w:gridCol w:w="4287"/>
      </w:tblGrid>
      <w:tr w14:paraId="198042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7" w:hRule="atLeast"/>
          <w:tblHeader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FA4978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E15C61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设施类别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A1E2A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参数规格</w:t>
            </w:r>
          </w:p>
        </w:tc>
      </w:tr>
      <w:tr w14:paraId="6A61E1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77DD1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6A8BC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电力设施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81673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220V 标准商用电</w:t>
            </w:r>
          </w:p>
        </w:tc>
      </w:tr>
      <w:tr w14:paraId="4F1776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7" w:hRule="atLeas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0D40E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7EE5E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照明设施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45E96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9~11W/㎡标准配置</w:t>
            </w:r>
          </w:p>
        </w:tc>
      </w:tr>
      <w:tr w14:paraId="44CA25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27DA7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F4088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网络设施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F7F6F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千兆光纤</w:t>
            </w:r>
          </w:p>
        </w:tc>
      </w:tr>
      <w:tr w14:paraId="2100B4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7" w:hRule="atLeas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20470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51DBD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标准化机房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6CA4F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符合技能机考标准（配有防窥挡板）</w:t>
            </w:r>
          </w:p>
        </w:tc>
      </w:tr>
      <w:tr w14:paraId="19CC92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7" w:hRule="atLeas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25E57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E18FE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仿真托育 / 家庭照护室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5B54B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1:1 还原托育机构或家庭照护实景</w:t>
            </w:r>
          </w:p>
        </w:tc>
      </w:tr>
      <w:tr w14:paraId="576F34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18F7D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E8FA6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备赛室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DC031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配套座椅、置物区、更衣饮水设施等</w:t>
            </w:r>
          </w:p>
        </w:tc>
      </w:tr>
    </w:tbl>
    <w:p w14:paraId="58F6D1A8">
      <w:pPr>
        <w:keepLines w:val="0"/>
        <w:pageBreakBefore w:val="0"/>
        <w:widowControl/>
        <w:kinsoku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24" w:firstLineChars="200"/>
        <w:jc w:val="left"/>
        <w:textAlignment w:val="baseline"/>
        <w:outlineLvl w:val="2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Times New Roman" w:hAnsi="Times New Roman" w:eastAsia="方正楷体_GB2312" w:cs="Times New Roman"/>
          <w:snapToGrid w:val="0"/>
          <w:color w:val="000000"/>
          <w:spacing w:val="-4"/>
          <w:kern w:val="0"/>
          <w:sz w:val="32"/>
          <w:szCs w:val="32"/>
          <w:lang w:eastAsia="en-US"/>
        </w:rPr>
        <w:t>（三）设备条件</w:t>
      </w:r>
    </w:p>
    <w:tbl>
      <w:tblPr>
        <w:tblStyle w:val="10"/>
        <w:tblW w:w="4714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87"/>
        <w:gridCol w:w="4010"/>
        <w:gridCol w:w="2834"/>
      </w:tblGrid>
      <w:tr w14:paraId="2CE768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  <w:tblHeader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43D619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7936EC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物资名称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3D04A1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数量</w:t>
            </w:r>
          </w:p>
        </w:tc>
      </w:tr>
      <w:tr w14:paraId="5DEC9A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B1678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DC68B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标准化计算机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A974A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200 台</w:t>
            </w:r>
          </w:p>
        </w:tc>
      </w:tr>
      <w:tr w14:paraId="210DB6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F7F79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E1E33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考试专用座椅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D5EDB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200 张</w:t>
            </w:r>
          </w:p>
        </w:tc>
      </w:tr>
      <w:tr w14:paraId="35C67C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0C68D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1E81C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选手身份核验设备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64A2C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4 套</w:t>
            </w:r>
          </w:p>
        </w:tc>
      </w:tr>
      <w:tr w14:paraId="2D3D7B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A5CEA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F669F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电子计时系统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4BD52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4 套</w:t>
            </w:r>
          </w:p>
        </w:tc>
      </w:tr>
      <w:tr w14:paraId="29C72C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A7B1C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5B7D9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机房全域监控设备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ED544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4 套</w:t>
            </w:r>
          </w:p>
        </w:tc>
      </w:tr>
      <w:tr w14:paraId="79DB15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13EAC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2283D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婴幼儿仿真模型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29E8F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套</w:t>
            </w:r>
          </w:p>
        </w:tc>
      </w:tr>
      <w:tr w14:paraId="089D67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D03FA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26953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婴儿床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36B3D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张</w:t>
            </w:r>
          </w:p>
        </w:tc>
      </w:tr>
      <w:tr w14:paraId="403430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98FFE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9E2FA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收纳储物柜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97521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组</w:t>
            </w:r>
          </w:p>
        </w:tc>
      </w:tr>
      <w:tr w14:paraId="2868B0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3CB9F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B6ED0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护理操作台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B01D8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辆</w:t>
            </w:r>
          </w:p>
        </w:tc>
      </w:tr>
      <w:tr w14:paraId="60086B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3FB2D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BDBA0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医用免洗洗手液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966E0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瓶</w:t>
            </w:r>
          </w:p>
        </w:tc>
      </w:tr>
      <w:tr w14:paraId="2EFE4B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0256E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CD008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纯棉干毛巾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9A641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包</w:t>
            </w:r>
          </w:p>
        </w:tc>
      </w:tr>
      <w:tr w14:paraId="563062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9302B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DD5A5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消毒湿毛巾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DF864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包</w:t>
            </w:r>
          </w:p>
        </w:tc>
      </w:tr>
      <w:tr w14:paraId="3EE43C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347F7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0AEDD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记录夹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543E3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个</w:t>
            </w:r>
          </w:p>
        </w:tc>
      </w:tr>
      <w:tr w14:paraId="2FFCA54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EFA12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072B4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黑色签字笔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149DF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盒</w:t>
            </w:r>
          </w:p>
        </w:tc>
      </w:tr>
      <w:tr w14:paraId="4C9487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5E915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FB18B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照护观察记录表单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F0EBD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200 套</w:t>
            </w:r>
          </w:p>
        </w:tc>
      </w:tr>
      <w:tr w14:paraId="7158DC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1EFEA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16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1C65F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电子计时秒表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80CD8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个</w:t>
            </w:r>
          </w:p>
        </w:tc>
      </w:tr>
      <w:tr w14:paraId="0D23FD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FFBBA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CF3ED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实操区域全域监控设备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AAFFC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套</w:t>
            </w:r>
          </w:p>
        </w:tc>
      </w:tr>
      <w:tr w14:paraId="67029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BAD05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D77C5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喂养器具套装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CABEB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套</w:t>
            </w:r>
          </w:p>
        </w:tc>
      </w:tr>
      <w:tr w14:paraId="6A7668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05B4E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19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F9D37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辅食模拟食材套装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31618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套</w:t>
            </w:r>
          </w:p>
        </w:tc>
      </w:tr>
      <w:tr w14:paraId="3D2A6D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8D500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4423D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婴幼儿伤害急救套装（窒息、烧烫伤、外伤处置）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20B0C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套</w:t>
            </w:r>
          </w:p>
        </w:tc>
      </w:tr>
      <w:tr w14:paraId="58C355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B5C69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21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908BB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抚触、三浴锻炼配套用品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4BA9F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套</w:t>
            </w:r>
          </w:p>
        </w:tc>
      </w:tr>
      <w:tr w14:paraId="755269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B6A5C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22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02475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亲子游戏玩具教具套装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77A71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套</w:t>
            </w:r>
          </w:p>
        </w:tc>
      </w:tr>
      <w:tr w14:paraId="2F3E47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B304F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23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D269D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情绪引导提示卡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3375E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套</w:t>
            </w:r>
          </w:p>
        </w:tc>
      </w:tr>
      <w:tr w14:paraId="4B1453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37AEF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24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40D26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家长沟通交流提示板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D4F05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个</w:t>
            </w:r>
          </w:p>
        </w:tc>
      </w:tr>
      <w:tr w14:paraId="726738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C1BE4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ACC2D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立式讲解展板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BB9C4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个</w:t>
            </w:r>
          </w:p>
        </w:tc>
      </w:tr>
      <w:tr w14:paraId="15C711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EB440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26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9E6A8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科学育儿科普图文宣传资料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69CC1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套</w:t>
            </w:r>
          </w:p>
        </w:tc>
      </w:tr>
      <w:tr w14:paraId="25242B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088CB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27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0A2DF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模拟家长听众座椅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92BB3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把</w:t>
            </w:r>
          </w:p>
        </w:tc>
      </w:tr>
      <w:tr w14:paraId="1E180A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</w:trPr>
        <w:tc>
          <w:tcPr>
            <w:tcW w:w="63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B151F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28</w:t>
            </w:r>
          </w:p>
        </w:tc>
        <w:tc>
          <w:tcPr>
            <w:tcW w:w="256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A2E35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教学提示卡</w:t>
            </w:r>
          </w:p>
        </w:tc>
        <w:tc>
          <w:tcPr>
            <w:tcW w:w="180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F8AD2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 套</w:t>
            </w:r>
          </w:p>
        </w:tc>
      </w:tr>
    </w:tbl>
    <w:p w14:paraId="21AFA30E">
      <w:pPr>
        <w:widowControl/>
        <w:autoSpaceDE w:val="0"/>
        <w:autoSpaceDN w:val="0"/>
        <w:adjustRightInd w:val="0"/>
        <w:snapToGrid w:val="0"/>
        <w:spacing w:line="590" w:lineRule="exact"/>
        <w:ind w:left="659"/>
        <w:jc w:val="left"/>
        <w:textAlignment w:val="baseline"/>
        <w:outlineLvl w:val="1"/>
        <w:rPr>
          <w:rFonts w:ascii="Times New Roman" w:hAnsi="Times New Roman" w:eastAsia="黑体" w:cs="Times New Roman"/>
          <w:snapToGrid w:val="0"/>
          <w:color w:val="000000"/>
          <w:spacing w:val="-7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snapToGrid w:val="0"/>
          <w:color w:val="000000"/>
          <w:spacing w:val="-7"/>
          <w:kern w:val="0"/>
          <w:sz w:val="32"/>
          <w:szCs w:val="32"/>
        </w:rPr>
        <w:t>五、技术团队组成人员</w:t>
      </w:r>
    </w:p>
    <w:p w14:paraId="6A0F165E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(一)专家组</w:t>
      </w:r>
    </w:p>
    <w:p w14:paraId="5FD9FC86">
      <w:pPr>
        <w:widowControl/>
        <w:ind w:firstLine="648" w:firstLineChars="200"/>
        <w:jc w:val="left"/>
        <w:rPr>
          <w:rFonts w:hint="eastAsia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1.专家组长：</w:t>
      </w:r>
      <w:r>
        <w:rPr>
          <w:rFonts w:hint="eastAsia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  <w:lang w:val="en-US" w:eastAsia="zh-CN"/>
        </w:rPr>
        <w:t>张华</w:t>
      </w:r>
    </w:p>
    <w:p w14:paraId="48B97B7E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2.专家组员：</w:t>
      </w:r>
      <w:r>
        <w:rPr>
          <w:rFonts w:hint="eastAsia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  <w:lang w:val="en-US" w:eastAsia="zh-CN"/>
        </w:rPr>
        <w:t>卢春燕</w:t>
      </w: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、</w:t>
      </w:r>
      <w:r>
        <w:rPr>
          <w:rFonts w:hint="default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  <w:lang w:val="en-US" w:eastAsia="zh-CN"/>
        </w:rPr>
        <w:t>钱丽萍</w:t>
      </w:r>
    </w:p>
    <w:p w14:paraId="7AB850E0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(二)裁判组</w:t>
      </w:r>
    </w:p>
    <w:p w14:paraId="0C039AD6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1.裁判长：</w:t>
      </w:r>
      <w:r>
        <w:rPr>
          <w:rFonts w:hint="eastAsia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  <w:lang w:val="en-US" w:eastAsia="zh-CN"/>
        </w:rPr>
        <w:t>张华</w:t>
      </w:r>
    </w:p>
    <w:p w14:paraId="4AE93B22">
      <w:pPr>
        <w:widowControl/>
        <w:ind w:firstLine="648" w:firstLineChars="200"/>
        <w:jc w:val="left"/>
        <w:rPr>
          <w:rFonts w:hint="default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  <w:lang w:val="en-US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2.裁判员：</w:t>
      </w:r>
      <w:r>
        <w:rPr>
          <w:rFonts w:hint="eastAsia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  <w:lang w:val="en-US" w:eastAsia="zh-CN"/>
        </w:rPr>
        <w:t>卢春燕</w:t>
      </w: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、</w:t>
      </w:r>
      <w:r>
        <w:rPr>
          <w:rFonts w:hint="default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  <w:lang w:val="en-US" w:eastAsia="zh-CN"/>
        </w:rPr>
        <w:t>钱丽萍</w:t>
      </w:r>
      <w:r>
        <w:rPr>
          <w:rFonts w:hint="eastAsia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  <w:lang w:val="en-US" w:eastAsia="zh-CN"/>
        </w:rPr>
        <w:t>、马华、黄星、花卓清、吴小亚</w:t>
      </w:r>
    </w:p>
    <w:p w14:paraId="708E6905">
      <w:pPr>
        <w:widowControl/>
        <w:autoSpaceDE w:val="0"/>
        <w:autoSpaceDN w:val="0"/>
        <w:adjustRightInd w:val="0"/>
        <w:snapToGrid w:val="0"/>
        <w:spacing w:line="590" w:lineRule="exact"/>
        <w:ind w:left="659"/>
        <w:jc w:val="left"/>
        <w:textAlignment w:val="baseline"/>
        <w:outlineLvl w:val="1"/>
        <w:rPr>
          <w:rFonts w:ascii="Times New Roman" w:hAnsi="Times New Roman" w:eastAsia="黑体" w:cs="Times New Roman"/>
          <w:snapToGrid w:val="0"/>
          <w:color w:val="000000"/>
          <w:spacing w:val="-7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snapToGrid w:val="0"/>
          <w:color w:val="000000"/>
          <w:spacing w:val="-7"/>
          <w:kern w:val="0"/>
          <w:sz w:val="32"/>
          <w:szCs w:val="32"/>
        </w:rPr>
        <w:t>六、纪律要求</w:t>
      </w:r>
    </w:p>
    <w:p w14:paraId="225FC8EC">
      <w:pPr>
        <w:widowControl/>
        <w:ind w:firstLine="648" w:firstLineChars="200"/>
        <w:jc w:val="left"/>
        <w:rPr>
          <w:rFonts w:ascii="华文仿宋" w:hAnsi="华文仿宋" w:eastAsia="华文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华文仿宋" w:hAnsi="华文仿宋" w:eastAsia="华文仿宋" w:cs="Times New Roman"/>
          <w:snapToGrid w:val="0"/>
          <w:color w:val="000000"/>
          <w:spacing w:val="2"/>
          <w:kern w:val="0"/>
          <w:sz w:val="32"/>
          <w:szCs w:val="32"/>
        </w:rPr>
        <w:t>（一）通则</w:t>
      </w:r>
    </w:p>
    <w:p w14:paraId="4FABD2FC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1</w:t>
      </w:r>
      <w:r>
        <w:rPr>
          <w:rFonts w:hint="eastAsia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本赛项将严格遵守公平、公正、公开的原则。对于任何违规行为，一经查实，将严肃处理。</w:t>
      </w:r>
    </w:p>
    <w:p w14:paraId="0DC9F1CE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2.参与本赛项的所有人员应按规定的时间、地点、场次参加比赛，不得无故迟到、早退、缺席。</w:t>
      </w:r>
    </w:p>
    <w:p w14:paraId="2B47CF68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3.参与本赛项的所有人员应当佩戴组委会配发的证件，服从组委会统一指挥，共同保证比赛顺利进行。</w:t>
      </w:r>
    </w:p>
    <w:p w14:paraId="7CECA4B7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（二）参赛选手</w:t>
      </w:r>
    </w:p>
    <w:p w14:paraId="1D77FBD1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1.参赛选手需携带参赛证、身份证等证件进入赛场，并将手机关机。未带证件者，不得参赛。</w:t>
      </w:r>
    </w:p>
    <w:p w14:paraId="1F0433CE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2.参赛选手在比赛开始前30分钟进入比赛候考区，在现场工作人员引导下，进行赛前准备，检查并确认所需物品。</w:t>
      </w:r>
    </w:p>
    <w:p w14:paraId="7F44261F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3.理论考试开始前15分钟，参赛选手凭证件进入规定考场，并将证件放在考桌左上角，以便监考人员查验。考试过程中，参赛选手应独立完</w:t>
      </w:r>
      <w:r>
        <w:rPr>
          <w:rFonts w:hint="eastAsia"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  <w:lang w:val="en-US" w:eastAsia="zh-CN"/>
        </w:rPr>
        <w:t xml:space="preserve"> </w:t>
      </w: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成答题。</w:t>
      </w:r>
    </w:p>
    <w:p w14:paraId="74776D9E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4.参赛选手必须按指定时间进入赛场，迟到30分钟者不得参加比赛。</w:t>
      </w:r>
    </w:p>
    <w:p w14:paraId="24B53811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5.裁判长宣布比赛开始，参赛选手方可答题、开展实操，比赛开始计时。</w:t>
      </w:r>
    </w:p>
    <w:p w14:paraId="5734ACC8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6.裁判长宣布比赛结束，参赛选手应立即停止答题与操作，不得以任何理由拖延竞赛时间，若提前结束比赛，应向裁判工作人员举手示意，经裁判员同意后，视为提前结束比赛。</w:t>
      </w:r>
    </w:p>
    <w:p w14:paraId="1AD54EDF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7.参赛人员应爱护赛场所有设施，自觉维持赛场环境卫生，操作设备应谨慎，不得违章操作，如遇损坏、丢失等现象照价赔偿。</w:t>
      </w:r>
    </w:p>
    <w:p w14:paraId="1564030B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8.比赛过程中，参赛选手须严格遵守操作规程，确保人身及设备安全，并接受裁判工作人员的监督和警示，出现设备故障等问题时，参赛选手应请裁判员对故障进行确认，对于因设备自身故障造成暂停和时间损失，该参赛选手的比赛时间酌情增补。</w:t>
      </w:r>
    </w:p>
    <w:p w14:paraId="38D58D18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（三）裁判人员</w:t>
      </w:r>
    </w:p>
    <w:p w14:paraId="7392B239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1.裁判人员在比赛前必须了解赛场情况、比赛规则及注意事项，不得泄露比赛的有关信息。</w:t>
      </w:r>
    </w:p>
    <w:p w14:paraId="5DCC331C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2.赛前裁判人员要集中学习有关文件，明确责任和分工，熟悉和掌握比赛的具体要求，严格遵守竞赛规则，做到评判公正，一视同仁。</w:t>
      </w:r>
    </w:p>
    <w:p w14:paraId="7DD1A37E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3.裁判人员应在工作前30分钟到达比赛场地，佩戴好执裁证，将手机处于关闭状态。裁判员应仪表整洁，语言举止文明礼貌，服从裁判长的领导，遵守评判职业道德，文明评判。</w:t>
      </w:r>
    </w:p>
    <w:p w14:paraId="6E7A0F4F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4.参赛选手进入考场时，裁判人员要认真检查参赛选手的证件，确保无差错，发现与证件不符者，裁判人员有权制止参赛选手进入考场。</w:t>
      </w:r>
    </w:p>
    <w:p w14:paraId="5BAA3153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5.裁判人员应严格遵守竞赛规则，认真执行竞赛项目的评分标准，以公平、公正、真实、一视同仁的原则，准确把握评分尺度，对在竞赛执裁过程中出现徇私舞弊的情况，一经查实，裁判长有权取消其执裁资格，并报竞赛组委会备案。</w:t>
      </w:r>
    </w:p>
    <w:p w14:paraId="2B331F16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6.裁判人员要严格执行比赛纪律，对选手的违规行为，进行严肃处理，并记录在案。对竞赛中出现的严重违纪和不安全行为应及时警告，必要时可以终止比赛。</w:t>
      </w:r>
    </w:p>
    <w:p w14:paraId="633C51FA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7.裁判人员在工作时要尊重参赛选手，与参赛选手交流时应注意方式，避免影响参赛选手情绪。</w:t>
      </w:r>
    </w:p>
    <w:p w14:paraId="1C21CC7F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8.对于竞赛过程中出现的问题或争议，裁判人员不允许在选手面前进行争论，应及时向裁判长汇报，服从裁判长的裁决，避免与参赛选手和相关人员发生争执，否则取消评判资格。</w:t>
      </w:r>
    </w:p>
    <w:p w14:paraId="57AEF475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9.裁判人员要坚守岗位，不得擅自离开、闲聊，不得无故干扰选手竞赛，不得同参赛选手交谈与竞赛无关的话题、不得给予参赛选手任何竞赛规则范围内的提示，不得在执裁过程中接听任何电话。</w:t>
      </w:r>
    </w:p>
    <w:p w14:paraId="2D35B7E2">
      <w:pPr>
        <w:widowControl/>
        <w:ind w:firstLine="648" w:firstLineChars="200"/>
        <w:jc w:val="left"/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2"/>
          <w:kern w:val="0"/>
          <w:sz w:val="32"/>
          <w:szCs w:val="32"/>
        </w:rPr>
        <w:t>10.裁判人员要认真执行各项规章制度，对在整个竞赛过程中未公平、公正，弄虚作假或者隐瞒事实不报的，将根据情节轻重予以处理。</w:t>
      </w:r>
    </w:p>
    <w:p w14:paraId="00DC25AF">
      <w:pPr>
        <w:widowControl/>
        <w:autoSpaceDE w:val="0"/>
        <w:autoSpaceDN w:val="0"/>
        <w:adjustRightInd w:val="0"/>
        <w:snapToGrid w:val="0"/>
        <w:spacing w:line="590" w:lineRule="exact"/>
        <w:ind w:left="659"/>
        <w:jc w:val="left"/>
        <w:textAlignment w:val="baseline"/>
        <w:outlineLvl w:val="1"/>
        <w:rPr>
          <w:rFonts w:ascii="Times New Roman" w:hAnsi="Times New Roman" w:eastAsia="黑体" w:cs="Times New Roman"/>
          <w:snapToGrid w:val="0"/>
          <w:color w:val="000000"/>
          <w:spacing w:val="-7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snapToGrid w:val="0"/>
          <w:color w:val="000000"/>
          <w:spacing w:val="-7"/>
          <w:kern w:val="0"/>
          <w:sz w:val="32"/>
          <w:szCs w:val="32"/>
        </w:rPr>
        <w:t>七、题库</w:t>
      </w:r>
    </w:p>
    <w:p w14:paraId="189E501E">
      <w:pPr>
        <w:widowControl/>
        <w:ind w:firstLine="648" w:firstLineChars="200"/>
        <w:jc w:val="left"/>
        <w:rPr>
          <w:rFonts w:ascii="华文仿宋" w:hAnsi="华文仿宋" w:eastAsia="华文仿宋" w:cs="Times New Roman"/>
          <w:snapToGrid w:val="0"/>
          <w:color w:val="000000"/>
          <w:spacing w:val="2"/>
          <w:kern w:val="0"/>
          <w:sz w:val="32"/>
          <w:szCs w:val="32"/>
        </w:rPr>
      </w:pPr>
      <w:r>
        <w:rPr>
          <w:rFonts w:ascii="华文仿宋" w:hAnsi="华文仿宋" w:eastAsia="华文仿宋" w:cs="Times New Roman"/>
          <w:snapToGrid w:val="0"/>
          <w:color w:val="000000"/>
          <w:spacing w:val="2"/>
          <w:kern w:val="0"/>
          <w:sz w:val="32"/>
          <w:szCs w:val="32"/>
        </w:rPr>
        <w:t>（一）理论题库</w:t>
      </w:r>
    </w:p>
    <w:p w14:paraId="0C744274">
      <w:pPr>
        <w:widowControl/>
        <w:ind w:firstLine="648" w:firstLineChars="200"/>
        <w:jc w:val="left"/>
        <w:rPr>
          <w:rFonts w:hint="default" w:ascii="华文仿宋" w:hAnsi="华文仿宋" w:eastAsia="华文仿宋" w:cs="Times New Roman"/>
          <w:snapToGrid w:val="0"/>
          <w:color w:val="000000"/>
          <w:spacing w:val="2"/>
          <w:kern w:val="0"/>
          <w:sz w:val="32"/>
          <w:szCs w:val="32"/>
          <w:lang w:val="en-US" w:eastAsia="zh-CN"/>
        </w:rPr>
      </w:pPr>
      <w:r>
        <w:rPr>
          <w:rFonts w:ascii="华文仿宋" w:hAnsi="华文仿宋" w:eastAsia="华文仿宋" w:cs="Times New Roman"/>
          <w:snapToGrid w:val="0"/>
          <w:color w:val="000000"/>
          <w:spacing w:val="2"/>
          <w:kern w:val="0"/>
          <w:sz w:val="32"/>
          <w:szCs w:val="32"/>
        </w:rPr>
        <w:t>（二）</w:t>
      </w:r>
      <w:r>
        <w:rPr>
          <w:rFonts w:hint="eastAsia" w:ascii="华文仿宋" w:hAnsi="华文仿宋" w:eastAsia="华文仿宋" w:cs="Times New Roman"/>
          <w:snapToGrid w:val="0"/>
          <w:color w:val="000000"/>
          <w:spacing w:val="2"/>
          <w:kern w:val="0"/>
          <w:sz w:val="32"/>
          <w:szCs w:val="32"/>
          <w:lang w:val="en-US" w:eastAsia="zh-CN"/>
        </w:rPr>
        <w:t>技术文件</w:t>
      </w:r>
    </w:p>
    <w:p w14:paraId="632619EB">
      <w:pPr>
        <w:widowControl/>
        <w:jc w:val="left"/>
        <w:rPr>
          <w:rFonts w:ascii="华文仿宋" w:hAnsi="华文仿宋" w:eastAsia="华文仿宋" w:cs="Times New Roman"/>
          <w:snapToGrid w:val="0"/>
          <w:color w:val="000000"/>
          <w:spacing w:val="2"/>
          <w:kern w:val="0"/>
          <w:sz w:val="32"/>
          <w:szCs w:val="32"/>
        </w:rPr>
      </w:pPr>
    </w:p>
    <w:p w14:paraId="47BD304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FF255DC">
      <w:pPr>
        <w:widowControl/>
        <w:ind w:right="624"/>
        <w:jc w:val="right"/>
        <w:rPr>
          <w:rFonts w:ascii="仿宋" w:hAnsi="仿宋" w:eastAsia="仿宋" w:cs="Times New Roman"/>
          <w:snapToGrid w:val="0"/>
          <w:color w:val="000000"/>
          <w:spacing w:val="-4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-4"/>
          <w:kern w:val="0"/>
          <w:sz w:val="32"/>
          <w:szCs w:val="32"/>
        </w:rPr>
        <w:t>常州市武进区人力资源与社会保障局</w:t>
      </w:r>
    </w:p>
    <w:p w14:paraId="1C8A68E0">
      <w:pPr>
        <w:ind w:firstLine="4056" w:firstLineChars="1300"/>
        <w:rPr>
          <w:rFonts w:ascii="仿宋" w:hAnsi="仿宋" w:eastAsia="仿宋" w:cs="Times New Roman"/>
          <w:snapToGrid w:val="0"/>
          <w:color w:val="000000"/>
          <w:spacing w:val="-4"/>
          <w:kern w:val="0"/>
          <w:sz w:val="32"/>
          <w:szCs w:val="32"/>
        </w:rPr>
      </w:pPr>
      <w:r>
        <w:rPr>
          <w:rFonts w:ascii="仿宋" w:hAnsi="仿宋" w:eastAsia="仿宋" w:cs="Times New Roman"/>
          <w:snapToGrid w:val="0"/>
          <w:color w:val="000000"/>
          <w:spacing w:val="-4"/>
          <w:kern w:val="0"/>
          <w:sz w:val="32"/>
          <w:szCs w:val="32"/>
        </w:rPr>
        <w:t>2026年</w:t>
      </w:r>
      <w:r>
        <w:rPr>
          <w:rFonts w:hint="eastAsia" w:ascii="仿宋" w:hAnsi="仿宋" w:eastAsia="仿宋" w:cs="Times New Roman"/>
          <w:snapToGrid w:val="0"/>
          <w:color w:val="000000"/>
          <w:spacing w:val="-4"/>
          <w:kern w:val="0"/>
          <w:sz w:val="32"/>
          <w:szCs w:val="32"/>
          <w:lang w:val="en-US" w:eastAsia="zh-CN"/>
        </w:rPr>
        <w:t>9</w:t>
      </w:r>
      <w:r>
        <w:rPr>
          <w:rFonts w:ascii="仿宋" w:hAnsi="仿宋" w:eastAsia="仿宋" w:cs="Times New Roman"/>
          <w:snapToGrid w:val="0"/>
          <w:color w:val="000000"/>
          <w:spacing w:val="-4"/>
          <w:kern w:val="0"/>
          <w:sz w:val="32"/>
          <w:szCs w:val="32"/>
        </w:rPr>
        <w:t>月</w:t>
      </w:r>
      <w:r>
        <w:rPr>
          <w:rFonts w:hint="eastAsia" w:ascii="仿宋" w:hAnsi="仿宋" w:eastAsia="仿宋" w:cs="Times New Roman"/>
          <w:snapToGrid w:val="0"/>
          <w:color w:val="000000"/>
          <w:spacing w:val="-4"/>
          <w:kern w:val="0"/>
          <w:sz w:val="32"/>
          <w:szCs w:val="32"/>
          <w:lang w:val="en-US" w:eastAsia="zh-CN"/>
        </w:rPr>
        <w:t>25</w:t>
      </w:r>
      <w:r>
        <w:rPr>
          <w:rFonts w:ascii="仿宋" w:hAnsi="仿宋" w:eastAsia="仿宋" w:cs="Times New Roman"/>
          <w:snapToGrid w:val="0"/>
          <w:color w:val="000000"/>
          <w:spacing w:val="-4"/>
          <w:kern w:val="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F832A88-87F0-41C9-BC11-9F9AC800984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E5A14314-7754-4D27-AFBE-E84BB7EB477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5A6AA3A-8F47-465B-97CE-FE3EA11350E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322734D6-9B97-4E43-A66F-7813B0A491B8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327307A3-E42B-42BC-B673-38622BA51A89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DFA9A6E0-B7AC-4B33-A9B6-2A80714014F2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89D"/>
    <w:rsid w:val="000223E1"/>
    <w:rsid w:val="000338A1"/>
    <w:rsid w:val="0003423E"/>
    <w:rsid w:val="00042FD4"/>
    <w:rsid w:val="000476BB"/>
    <w:rsid w:val="000648C6"/>
    <w:rsid w:val="00084ABD"/>
    <w:rsid w:val="000904ED"/>
    <w:rsid w:val="00092D74"/>
    <w:rsid w:val="000A047F"/>
    <w:rsid w:val="000B42B2"/>
    <w:rsid w:val="000D11D4"/>
    <w:rsid w:val="000D5F4B"/>
    <w:rsid w:val="000F5E6B"/>
    <w:rsid w:val="00100071"/>
    <w:rsid w:val="001062FD"/>
    <w:rsid w:val="0011367C"/>
    <w:rsid w:val="001328C2"/>
    <w:rsid w:val="0013649C"/>
    <w:rsid w:val="001533A8"/>
    <w:rsid w:val="001876E0"/>
    <w:rsid w:val="00191E87"/>
    <w:rsid w:val="001A4EB5"/>
    <w:rsid w:val="001A6AF3"/>
    <w:rsid w:val="001D3263"/>
    <w:rsid w:val="001E60A5"/>
    <w:rsid w:val="001F6F01"/>
    <w:rsid w:val="00202786"/>
    <w:rsid w:val="00202B47"/>
    <w:rsid w:val="00213C9C"/>
    <w:rsid w:val="002250CF"/>
    <w:rsid w:val="002514EE"/>
    <w:rsid w:val="002537CA"/>
    <w:rsid w:val="00261637"/>
    <w:rsid w:val="00265188"/>
    <w:rsid w:val="002655ED"/>
    <w:rsid w:val="00272B87"/>
    <w:rsid w:val="002819A3"/>
    <w:rsid w:val="002943D5"/>
    <w:rsid w:val="002B2167"/>
    <w:rsid w:val="002B61DE"/>
    <w:rsid w:val="002C462D"/>
    <w:rsid w:val="002D6B53"/>
    <w:rsid w:val="002E3CF3"/>
    <w:rsid w:val="002E5235"/>
    <w:rsid w:val="002E58DA"/>
    <w:rsid w:val="002F2282"/>
    <w:rsid w:val="003255F2"/>
    <w:rsid w:val="003445AC"/>
    <w:rsid w:val="00344AA6"/>
    <w:rsid w:val="003544DC"/>
    <w:rsid w:val="0036391E"/>
    <w:rsid w:val="00370693"/>
    <w:rsid w:val="003720B9"/>
    <w:rsid w:val="003771E4"/>
    <w:rsid w:val="0037746D"/>
    <w:rsid w:val="003774BA"/>
    <w:rsid w:val="00382B6F"/>
    <w:rsid w:val="003A0C27"/>
    <w:rsid w:val="003B1FCD"/>
    <w:rsid w:val="003C3073"/>
    <w:rsid w:val="003D098B"/>
    <w:rsid w:val="003E1E75"/>
    <w:rsid w:val="003E394E"/>
    <w:rsid w:val="003F42CA"/>
    <w:rsid w:val="00400028"/>
    <w:rsid w:val="00417A9C"/>
    <w:rsid w:val="00432077"/>
    <w:rsid w:val="0043724D"/>
    <w:rsid w:val="00440174"/>
    <w:rsid w:val="004618F6"/>
    <w:rsid w:val="004730AB"/>
    <w:rsid w:val="004939A8"/>
    <w:rsid w:val="004A1BB7"/>
    <w:rsid w:val="004A1D13"/>
    <w:rsid w:val="004B1D8A"/>
    <w:rsid w:val="004B7892"/>
    <w:rsid w:val="004C281D"/>
    <w:rsid w:val="004C2C2E"/>
    <w:rsid w:val="004E727F"/>
    <w:rsid w:val="004F131D"/>
    <w:rsid w:val="005023CE"/>
    <w:rsid w:val="00506EB6"/>
    <w:rsid w:val="005162B9"/>
    <w:rsid w:val="0052647C"/>
    <w:rsid w:val="00531BDF"/>
    <w:rsid w:val="00553227"/>
    <w:rsid w:val="00554D94"/>
    <w:rsid w:val="00560D89"/>
    <w:rsid w:val="00564B19"/>
    <w:rsid w:val="00583CF8"/>
    <w:rsid w:val="00590BC0"/>
    <w:rsid w:val="00592CDB"/>
    <w:rsid w:val="005A4AAD"/>
    <w:rsid w:val="005C3CD3"/>
    <w:rsid w:val="005E188B"/>
    <w:rsid w:val="006152C4"/>
    <w:rsid w:val="006434B3"/>
    <w:rsid w:val="00644FCB"/>
    <w:rsid w:val="00645611"/>
    <w:rsid w:val="0065174A"/>
    <w:rsid w:val="00657231"/>
    <w:rsid w:val="006755D7"/>
    <w:rsid w:val="006A0022"/>
    <w:rsid w:val="006A5D43"/>
    <w:rsid w:val="006B10BA"/>
    <w:rsid w:val="006C3E51"/>
    <w:rsid w:val="006C4741"/>
    <w:rsid w:val="006D4784"/>
    <w:rsid w:val="006E0459"/>
    <w:rsid w:val="006E5865"/>
    <w:rsid w:val="007053FF"/>
    <w:rsid w:val="00731380"/>
    <w:rsid w:val="00733A00"/>
    <w:rsid w:val="00747619"/>
    <w:rsid w:val="00752A97"/>
    <w:rsid w:val="00754B83"/>
    <w:rsid w:val="00763CE1"/>
    <w:rsid w:val="00765647"/>
    <w:rsid w:val="00777886"/>
    <w:rsid w:val="0078116D"/>
    <w:rsid w:val="00782B98"/>
    <w:rsid w:val="007D0BCA"/>
    <w:rsid w:val="007D332E"/>
    <w:rsid w:val="007E5650"/>
    <w:rsid w:val="007F15BB"/>
    <w:rsid w:val="00800C76"/>
    <w:rsid w:val="00814639"/>
    <w:rsid w:val="00864CE1"/>
    <w:rsid w:val="008706C5"/>
    <w:rsid w:val="008749A2"/>
    <w:rsid w:val="00890F8D"/>
    <w:rsid w:val="0089589D"/>
    <w:rsid w:val="008A6554"/>
    <w:rsid w:val="008B63D8"/>
    <w:rsid w:val="008D7B30"/>
    <w:rsid w:val="008E1364"/>
    <w:rsid w:val="008F287F"/>
    <w:rsid w:val="009106A7"/>
    <w:rsid w:val="0091132A"/>
    <w:rsid w:val="00915974"/>
    <w:rsid w:val="00920B9D"/>
    <w:rsid w:val="00932838"/>
    <w:rsid w:val="00943732"/>
    <w:rsid w:val="009714F3"/>
    <w:rsid w:val="009805F1"/>
    <w:rsid w:val="00990B62"/>
    <w:rsid w:val="009C0C85"/>
    <w:rsid w:val="009D1E62"/>
    <w:rsid w:val="009D3319"/>
    <w:rsid w:val="009E30FA"/>
    <w:rsid w:val="009E7DB8"/>
    <w:rsid w:val="009E7F19"/>
    <w:rsid w:val="00A10CF8"/>
    <w:rsid w:val="00A13899"/>
    <w:rsid w:val="00A15CF8"/>
    <w:rsid w:val="00A2689F"/>
    <w:rsid w:val="00A272CA"/>
    <w:rsid w:val="00A363CE"/>
    <w:rsid w:val="00A409EB"/>
    <w:rsid w:val="00A4273D"/>
    <w:rsid w:val="00A630E6"/>
    <w:rsid w:val="00A80FC9"/>
    <w:rsid w:val="00A81FCD"/>
    <w:rsid w:val="00A92D91"/>
    <w:rsid w:val="00AA0637"/>
    <w:rsid w:val="00AA6FFA"/>
    <w:rsid w:val="00AB1F81"/>
    <w:rsid w:val="00AC19ED"/>
    <w:rsid w:val="00AC50F4"/>
    <w:rsid w:val="00B06CB1"/>
    <w:rsid w:val="00B078E2"/>
    <w:rsid w:val="00B235BA"/>
    <w:rsid w:val="00B351FA"/>
    <w:rsid w:val="00B47942"/>
    <w:rsid w:val="00B513D5"/>
    <w:rsid w:val="00B52F32"/>
    <w:rsid w:val="00B61544"/>
    <w:rsid w:val="00B714FA"/>
    <w:rsid w:val="00B92C7E"/>
    <w:rsid w:val="00BA0F3F"/>
    <w:rsid w:val="00BA4856"/>
    <w:rsid w:val="00BB15E4"/>
    <w:rsid w:val="00BB7AD9"/>
    <w:rsid w:val="00BC242C"/>
    <w:rsid w:val="00BC55B7"/>
    <w:rsid w:val="00C00B02"/>
    <w:rsid w:val="00C014D9"/>
    <w:rsid w:val="00C019EF"/>
    <w:rsid w:val="00C0522B"/>
    <w:rsid w:val="00C202FD"/>
    <w:rsid w:val="00C22017"/>
    <w:rsid w:val="00C22C97"/>
    <w:rsid w:val="00C26F50"/>
    <w:rsid w:val="00C43463"/>
    <w:rsid w:val="00C66B95"/>
    <w:rsid w:val="00C86A9E"/>
    <w:rsid w:val="00C91680"/>
    <w:rsid w:val="00C9390F"/>
    <w:rsid w:val="00CA3CD6"/>
    <w:rsid w:val="00CC1F80"/>
    <w:rsid w:val="00CD7FA2"/>
    <w:rsid w:val="00D13F4F"/>
    <w:rsid w:val="00D17877"/>
    <w:rsid w:val="00D24747"/>
    <w:rsid w:val="00D30DE3"/>
    <w:rsid w:val="00D320C1"/>
    <w:rsid w:val="00D42E01"/>
    <w:rsid w:val="00D45902"/>
    <w:rsid w:val="00D57F4F"/>
    <w:rsid w:val="00D63267"/>
    <w:rsid w:val="00D757FA"/>
    <w:rsid w:val="00D76505"/>
    <w:rsid w:val="00D76796"/>
    <w:rsid w:val="00D935CD"/>
    <w:rsid w:val="00D97FC1"/>
    <w:rsid w:val="00DA305D"/>
    <w:rsid w:val="00DA4919"/>
    <w:rsid w:val="00DA6770"/>
    <w:rsid w:val="00DC0050"/>
    <w:rsid w:val="00DC04E6"/>
    <w:rsid w:val="00DC3563"/>
    <w:rsid w:val="00DC5EC4"/>
    <w:rsid w:val="00DE32F7"/>
    <w:rsid w:val="00DF1BA3"/>
    <w:rsid w:val="00DF2F60"/>
    <w:rsid w:val="00E00540"/>
    <w:rsid w:val="00E04453"/>
    <w:rsid w:val="00E04718"/>
    <w:rsid w:val="00E06C25"/>
    <w:rsid w:val="00E2289D"/>
    <w:rsid w:val="00E43661"/>
    <w:rsid w:val="00E52C31"/>
    <w:rsid w:val="00E6426F"/>
    <w:rsid w:val="00E67DB2"/>
    <w:rsid w:val="00E76EE6"/>
    <w:rsid w:val="00E83275"/>
    <w:rsid w:val="00EA088F"/>
    <w:rsid w:val="00EA5904"/>
    <w:rsid w:val="00EA79B4"/>
    <w:rsid w:val="00EB2674"/>
    <w:rsid w:val="00ED196D"/>
    <w:rsid w:val="00ED6D37"/>
    <w:rsid w:val="00EE17DA"/>
    <w:rsid w:val="00F02E86"/>
    <w:rsid w:val="00F048EA"/>
    <w:rsid w:val="00F32FB5"/>
    <w:rsid w:val="00F416B7"/>
    <w:rsid w:val="00F470FD"/>
    <w:rsid w:val="00F4742F"/>
    <w:rsid w:val="00F75EE0"/>
    <w:rsid w:val="00F772A1"/>
    <w:rsid w:val="00F96CCD"/>
    <w:rsid w:val="00FA1CA4"/>
    <w:rsid w:val="00FA70CF"/>
    <w:rsid w:val="00FA7634"/>
    <w:rsid w:val="00FB6872"/>
    <w:rsid w:val="00FF7A82"/>
    <w:rsid w:val="0F751DE3"/>
    <w:rsid w:val="18FA1E32"/>
    <w:rsid w:val="28D63505"/>
    <w:rsid w:val="35772CFE"/>
    <w:rsid w:val="42382B8B"/>
    <w:rsid w:val="506D50B9"/>
    <w:rsid w:val="52A0149C"/>
    <w:rsid w:val="5BC30933"/>
    <w:rsid w:val="5D011713"/>
    <w:rsid w:val="5DF8269C"/>
    <w:rsid w:val="6A505A87"/>
    <w:rsid w:val="77B8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7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Date"/>
    <w:basedOn w:val="1"/>
    <w:next w:val="1"/>
    <w:link w:val="26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5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6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7">
    <w:name w:val="标题 1 字符"/>
    <w:basedOn w:val="11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8">
    <w:name w:val="rich_media_meta"/>
    <w:basedOn w:val="11"/>
    <w:qFormat/>
    <w:uiPriority w:val="0"/>
  </w:style>
  <w:style w:type="character" w:customStyle="1" w:styleId="19">
    <w:name w:val="aria_hidden_abs"/>
    <w:basedOn w:val="11"/>
    <w:qFormat/>
    <w:uiPriority w:val="0"/>
  </w:style>
  <w:style w:type="character" w:customStyle="1" w:styleId="20">
    <w:name w:val="video_length"/>
    <w:basedOn w:val="11"/>
    <w:qFormat/>
    <w:uiPriority w:val="0"/>
  </w:style>
  <w:style w:type="character" w:customStyle="1" w:styleId="21">
    <w:name w:val="标题 3 字符"/>
    <w:basedOn w:val="11"/>
    <w:link w:val="4"/>
    <w:semiHidden/>
    <w:qFormat/>
    <w:uiPriority w:val="9"/>
    <w:rPr>
      <w:b/>
      <w:bCs/>
      <w:sz w:val="32"/>
      <w:szCs w:val="32"/>
    </w:rPr>
  </w:style>
  <w:style w:type="character" w:customStyle="1" w:styleId="22">
    <w:name w:val="标题 2 字符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3">
    <w:name w:val="popup-title"/>
    <w:basedOn w:val="11"/>
    <w:qFormat/>
    <w:uiPriority w:val="0"/>
  </w:style>
  <w:style w:type="character" w:customStyle="1" w:styleId="24">
    <w:name w:val="icon"/>
    <w:basedOn w:val="11"/>
    <w:qFormat/>
    <w:uiPriority w:val="0"/>
  </w:style>
  <w:style w:type="character" w:customStyle="1" w:styleId="25">
    <w:name w:val="mi-caption-label"/>
    <w:basedOn w:val="11"/>
    <w:qFormat/>
    <w:uiPriority w:val="0"/>
  </w:style>
  <w:style w:type="character" w:customStyle="1" w:styleId="26">
    <w:name w:val="日期 字符"/>
    <w:basedOn w:val="11"/>
    <w:link w:val="6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13</Pages>
  <Words>4277</Words>
  <Characters>4411</Characters>
  <Lines>34</Lines>
  <Paragraphs>9</Paragraphs>
  <TotalTime>23</TotalTime>
  <ScaleCrop>false</ScaleCrop>
  <LinksUpToDate>false</LinksUpToDate>
  <CharactersWithSpaces>4452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2026-08-24T10:01:00Z</dcterms:created>
  <dc:creator>Administrator</dc:creator>
  <cp:lastModifiedBy>王飞</cp:lastModifiedBy>
  <cp:lastPrinted>2025-02-02T04:55:00Z</cp:lastPrinted>
  <dcterms:modified xsi:type="dcterms:W3CDTF">2026-10-16T06:44:13Z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eyJoZGlkIjoiZWY1NDVkODQ5ZWI1MzE3Mjk4ZGQyZWY2MWU2M2RjNjgiLCJ1c2VySWQiOiIzMTM5NzgzMzEifQ==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702E6254A1054C1F965C707F88EA0170_12</vt:lpwstr>
  </property>
</Properties>
</file>