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CCF8E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ind w:left="1307"/>
        <w:jc w:val="left"/>
        <w:textAlignment w:val="baseline"/>
        <w:rPr>
          <w:rFonts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  <w:lang w:eastAsia="en-US"/>
        </w:rPr>
      </w:pPr>
    </w:p>
    <w:p w14:paraId="58C3FDE0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jc w:val="center"/>
        <w:textAlignment w:val="baseline"/>
        <w:rPr>
          <w:rFonts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</w:rPr>
      </w:pPr>
    </w:p>
    <w:p w14:paraId="13043750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jc w:val="center"/>
        <w:textAlignment w:val="baseline"/>
        <w:rPr>
          <w:rFonts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</w:rPr>
      </w:pPr>
    </w:p>
    <w:p w14:paraId="28C3D6B5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jc w:val="center"/>
        <w:textAlignment w:val="baseline"/>
        <w:rPr>
          <w:rFonts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</w:rPr>
        <w:t>2026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  <w:lang w:eastAsia="en-US"/>
        </w:rPr>
        <w:t>年常州市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</w:rPr>
        <w:t>武进区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  <w:lang w:val="en-US" w:eastAsia="zh-CN"/>
        </w:rPr>
        <w:t>工业机器人系统操作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</w:rPr>
        <w:t>员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  <w:lang w:eastAsia="en-US"/>
        </w:rPr>
        <w:t>职业技能竞赛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"/>
          <w:kern w:val="0"/>
          <w:sz w:val="48"/>
          <w:szCs w:val="48"/>
          <w:lang w:val="en-US" w:eastAsia="zh-CN"/>
        </w:rPr>
        <w:t>工业机器人编程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1"/>
          <w:kern w:val="0"/>
          <w:sz w:val="48"/>
          <w:szCs w:val="48"/>
          <w:lang w:eastAsia="en-US"/>
        </w:rPr>
        <w:t>项目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1"/>
          <w:kern w:val="0"/>
          <w:sz w:val="44"/>
          <w:szCs w:val="44"/>
          <w:highlight w:val="none"/>
          <w:lang w:eastAsia="en-US"/>
        </w:rPr>
        <w:t>（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highlight w:val="none"/>
        </w:rPr>
        <w:t>职工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1"/>
          <w:kern w:val="0"/>
          <w:sz w:val="44"/>
          <w:szCs w:val="44"/>
          <w:highlight w:val="none"/>
          <w:lang w:eastAsia="en-US"/>
        </w:rPr>
        <w:t>组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1"/>
          <w:kern w:val="0"/>
          <w:sz w:val="44"/>
          <w:szCs w:val="44"/>
          <w:lang w:eastAsia="en-US"/>
        </w:rPr>
        <w:t>）</w:t>
      </w:r>
    </w:p>
    <w:p w14:paraId="20D63956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570AE670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2F2AFA00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09CB1DD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45927324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E4821CC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07E32E8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ind w:firstLine="2370" w:firstLineChars="500"/>
        <w:jc w:val="left"/>
        <w:textAlignment w:val="baseline"/>
        <w:outlineLvl w:val="0"/>
        <w:rPr>
          <w:rFonts w:ascii="方正小标宋简体" w:hAnsi="方正小标宋简体" w:eastAsia="方正小标宋简体" w:cs="方正小标宋简体"/>
          <w:snapToGrid w:val="0"/>
          <w:color w:val="000000"/>
          <w:kern w:val="0"/>
          <w:sz w:val="48"/>
          <w:szCs w:val="48"/>
          <w:lang w:eastAsia="en-US"/>
        </w:rPr>
      </w:pP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>技  术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3"/>
          <w:kern w:val="0"/>
          <w:sz w:val="48"/>
          <w:szCs w:val="48"/>
          <w:lang w:eastAsia="en-US"/>
        </w:rPr>
        <w:t xml:space="preserve">  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>文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4"/>
          <w:kern w:val="0"/>
          <w:sz w:val="48"/>
          <w:szCs w:val="48"/>
          <w:lang w:eastAsia="en-US"/>
        </w:rPr>
        <w:t xml:space="preserve">  </w:t>
      </w:r>
      <w:r>
        <w:rPr>
          <w:rFonts w:ascii="方正小标宋简体" w:hAnsi="方正小标宋简体" w:eastAsia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>件</w:t>
      </w:r>
    </w:p>
    <w:p w14:paraId="34F9FEEA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1DF1A08">
      <w:pPr>
        <w:spacing w:line="580" w:lineRule="exact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  <w:br w:type="page"/>
      </w:r>
    </w:p>
    <w:p w14:paraId="6ACDC781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74BE5D1B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7B1872D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2915BC9B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A99A985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6BC5E4A6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sdt>
      <w:sdtPr>
        <w:rPr>
          <w:rFonts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eastAsia="en-US"/>
        </w:rPr>
        <w:id w:val="147478932"/>
        <w:docPartObj>
          <w:docPartGallery w:val="Table of Contents"/>
          <w:docPartUnique/>
        </w:docPartObj>
      </w:sdtPr>
      <w:sdtEndPr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en-US"/>
        </w:rPr>
      </w:sdtEndPr>
      <w:sdtContent>
        <w:p w14:paraId="1C19FDCF">
          <w:pPr>
            <w:widowControl/>
            <w:kinsoku w:val="0"/>
            <w:autoSpaceDE w:val="0"/>
            <w:autoSpaceDN w:val="0"/>
            <w:adjustRightInd w:val="0"/>
            <w:snapToGrid w:val="0"/>
            <w:spacing w:before="170" w:line="580" w:lineRule="exact"/>
            <w:ind w:left="3396"/>
            <w:jc w:val="left"/>
            <w:textAlignment w:val="baseline"/>
            <w:rPr>
              <w:rFonts w:ascii="方正小标宋简体" w:hAnsi="方正小标宋简体" w:eastAsia="方正小标宋简体" w:cs="方正小标宋简体"/>
              <w:snapToGrid w:val="0"/>
              <w:color w:val="000000"/>
              <w:kern w:val="0"/>
              <w:sz w:val="44"/>
              <w:szCs w:val="44"/>
              <w:lang w:eastAsia="en-US"/>
            </w:rPr>
          </w:pPr>
          <w:r>
            <w:rPr>
              <w:rFonts w:ascii="方正小标宋简体" w:hAnsi="方正小标宋简体" w:eastAsia="方正小标宋简体" w:cs="方正小标宋简体"/>
              <w:snapToGrid w:val="0"/>
              <w:color w:val="000000"/>
              <w:spacing w:val="-37"/>
              <w:kern w:val="0"/>
              <w:sz w:val="44"/>
              <w:szCs w:val="44"/>
              <w:lang w:eastAsia="en-US"/>
            </w:rPr>
            <w:t>目</w:t>
          </w:r>
          <w:r>
            <w:rPr>
              <w:rFonts w:ascii="方正小标宋简体" w:hAnsi="方正小标宋简体" w:eastAsia="方正小标宋简体" w:cs="方正小标宋简体"/>
              <w:snapToGrid w:val="0"/>
              <w:color w:val="000000"/>
              <w:spacing w:val="2"/>
              <w:kern w:val="0"/>
              <w:sz w:val="44"/>
              <w:szCs w:val="44"/>
              <w:lang w:eastAsia="en-US"/>
            </w:rPr>
            <w:t xml:space="preserve">        </w:t>
          </w:r>
          <w:r>
            <w:rPr>
              <w:rFonts w:ascii="方正小标宋简体" w:hAnsi="方正小标宋简体" w:eastAsia="方正小标宋简体" w:cs="方正小标宋简体"/>
              <w:snapToGrid w:val="0"/>
              <w:color w:val="000000"/>
              <w:spacing w:val="-37"/>
              <w:kern w:val="0"/>
              <w:sz w:val="44"/>
              <w:szCs w:val="44"/>
              <w:lang w:eastAsia="en-US"/>
            </w:rPr>
            <w:t>录</w:t>
          </w:r>
        </w:p>
        <w:p w14:paraId="5EC65C29">
          <w:pPr>
            <w:widowControl/>
            <w:kinsoku w:val="0"/>
            <w:autoSpaceDE w:val="0"/>
            <w:autoSpaceDN w:val="0"/>
            <w:adjustRightInd w:val="0"/>
            <w:snapToGrid w:val="0"/>
            <w:spacing w:line="580" w:lineRule="exact"/>
            <w:jc w:val="left"/>
            <w:textAlignment w:val="baseline"/>
            <w:rPr>
              <w:rFonts w:ascii="Arial" w:hAnsi="Arial" w:eastAsia="Arial" w:cs="Arial"/>
              <w:snapToGrid w:val="0"/>
              <w:color w:val="000000"/>
              <w:kern w:val="0"/>
              <w:szCs w:val="21"/>
              <w:lang w:eastAsia="en-US"/>
            </w:rPr>
          </w:pPr>
        </w:p>
        <w:p w14:paraId="55873336">
          <w:pPr>
            <w:widowControl/>
            <w:kinsoku w:val="0"/>
            <w:autoSpaceDE w:val="0"/>
            <w:autoSpaceDN w:val="0"/>
            <w:adjustRightInd w:val="0"/>
            <w:snapToGrid w:val="0"/>
            <w:spacing w:line="580" w:lineRule="exact"/>
            <w:jc w:val="left"/>
            <w:textAlignment w:val="baseline"/>
            <w:rPr>
              <w:rFonts w:ascii="Arial" w:hAnsi="Arial" w:eastAsia="Arial" w:cs="Arial"/>
              <w:snapToGrid w:val="0"/>
              <w:color w:val="000000"/>
              <w:kern w:val="0"/>
              <w:szCs w:val="21"/>
              <w:lang w:eastAsia="en-US"/>
            </w:rPr>
          </w:pPr>
        </w:p>
        <w:p w14:paraId="5B6E9297">
          <w:pPr>
            <w:kinsoku w:val="0"/>
            <w:autoSpaceDE w:val="0"/>
            <w:autoSpaceDN w:val="0"/>
            <w:adjustRightInd w:val="0"/>
            <w:snapToGrid w:val="0"/>
            <w:spacing w:before="104" w:line="580" w:lineRule="exact"/>
            <w:ind w:left="454"/>
            <w:jc w:val="left"/>
            <w:textAlignment w:val="baseline"/>
            <w:rPr>
              <w:rFonts w:ascii="仿宋_GB2312" w:hAnsi="仿宋_GB2312" w:eastAsia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hAnsi="仿宋_GB2312" w:eastAsia="仿宋_GB2312" w:cs="仿宋_GB2312"/>
              <w:snapToGrid w:val="0"/>
              <w:color w:val="000000"/>
              <w:spacing w:val="-8"/>
              <w:kern w:val="0"/>
              <w:sz w:val="32"/>
              <w:szCs w:val="32"/>
              <w:lang w:eastAsia="en-US"/>
            </w:rPr>
            <w:t>一、编制依据</w:t>
          </w:r>
        </w:p>
        <w:p w14:paraId="39BAD230">
          <w:pPr>
            <w:kinsoku w:val="0"/>
            <w:autoSpaceDE w:val="0"/>
            <w:autoSpaceDN w:val="0"/>
            <w:adjustRightInd w:val="0"/>
            <w:snapToGrid w:val="0"/>
            <w:spacing w:before="197" w:line="580" w:lineRule="exact"/>
            <w:ind w:left="452"/>
            <w:jc w:val="left"/>
            <w:textAlignment w:val="baseline"/>
            <w:rPr>
              <w:rFonts w:ascii="仿宋_GB2312" w:hAnsi="仿宋_GB2312" w:eastAsia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hAnsi="仿宋_GB2312" w:eastAsia="仿宋_GB2312" w:cs="仿宋_GB2312"/>
              <w:snapToGrid w:val="0"/>
              <w:color w:val="000000"/>
              <w:spacing w:val="-4"/>
              <w:kern w:val="0"/>
              <w:sz w:val="32"/>
              <w:szCs w:val="32"/>
              <w:lang w:eastAsia="en-US"/>
            </w:rPr>
            <w:t>二、技术描述</w:t>
          </w:r>
        </w:p>
        <w:p w14:paraId="134450B5">
          <w:pPr>
            <w:kinsoku w:val="0"/>
            <w:autoSpaceDE w:val="0"/>
            <w:autoSpaceDN w:val="0"/>
            <w:adjustRightInd w:val="0"/>
            <w:snapToGrid w:val="0"/>
            <w:spacing w:before="192" w:line="580" w:lineRule="exact"/>
            <w:ind w:left="458"/>
            <w:jc w:val="left"/>
            <w:textAlignment w:val="baseline"/>
            <w:rPr>
              <w:rFonts w:ascii="仿宋_GB2312" w:hAnsi="仿宋_GB2312" w:eastAsia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hAnsi="仿宋_GB2312" w:eastAsia="仿宋_GB2312" w:cs="仿宋_GB2312"/>
              <w:snapToGrid w:val="0"/>
              <w:color w:val="000000"/>
              <w:spacing w:val="-5"/>
              <w:kern w:val="0"/>
              <w:sz w:val="32"/>
              <w:szCs w:val="32"/>
              <w:lang w:eastAsia="en-US"/>
            </w:rPr>
            <w:t>三、技术纲要</w:t>
          </w:r>
        </w:p>
        <w:p w14:paraId="5A79D942">
          <w:pPr>
            <w:kinsoku w:val="0"/>
            <w:autoSpaceDE w:val="0"/>
            <w:autoSpaceDN w:val="0"/>
            <w:adjustRightInd w:val="0"/>
            <w:snapToGrid w:val="0"/>
            <w:spacing w:before="192" w:line="580" w:lineRule="exact"/>
            <w:ind w:left="472"/>
            <w:jc w:val="left"/>
            <w:textAlignment w:val="baseline"/>
            <w:rPr>
              <w:rFonts w:ascii="仿宋_GB2312" w:hAnsi="仿宋_GB2312" w:eastAsia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hAnsi="仿宋_GB2312" w:eastAsia="仿宋_GB2312" w:cs="仿宋_GB2312"/>
              <w:snapToGrid w:val="0"/>
              <w:color w:val="000000"/>
              <w:spacing w:val="-5"/>
              <w:kern w:val="0"/>
              <w:sz w:val="32"/>
              <w:szCs w:val="32"/>
              <w:lang w:eastAsia="en-US"/>
            </w:rPr>
            <w:t>四、场地设施设备简述</w:t>
          </w:r>
        </w:p>
        <w:p w14:paraId="62F22673">
          <w:pPr>
            <w:kinsoku w:val="0"/>
            <w:autoSpaceDE w:val="0"/>
            <w:autoSpaceDN w:val="0"/>
            <w:adjustRightInd w:val="0"/>
            <w:snapToGrid w:val="0"/>
            <w:spacing w:before="199" w:line="580" w:lineRule="exact"/>
            <w:ind w:left="445"/>
            <w:jc w:val="left"/>
            <w:textAlignment w:val="baseline"/>
            <w:rPr>
              <w:rFonts w:ascii="仿宋_GB2312" w:hAnsi="仿宋_GB2312" w:eastAsia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hAnsi="仿宋_GB2312" w:eastAsia="仿宋_GB2312" w:cs="仿宋_GB2312"/>
              <w:snapToGrid w:val="0"/>
              <w:color w:val="000000"/>
              <w:spacing w:val="-3"/>
              <w:kern w:val="0"/>
              <w:sz w:val="32"/>
              <w:szCs w:val="32"/>
              <w:lang w:eastAsia="en-US"/>
            </w:rPr>
            <w:t>五、技术团队组成人员</w:t>
          </w:r>
        </w:p>
        <w:p w14:paraId="26C00B25">
          <w:pPr>
            <w:kinsoku w:val="0"/>
            <w:autoSpaceDE w:val="0"/>
            <w:autoSpaceDN w:val="0"/>
            <w:adjustRightInd w:val="0"/>
            <w:snapToGrid w:val="0"/>
            <w:spacing w:before="194" w:line="580" w:lineRule="exact"/>
            <w:ind w:left="448"/>
            <w:jc w:val="left"/>
            <w:textAlignment w:val="baseline"/>
            <w:rPr>
              <w:rFonts w:ascii="仿宋_GB2312" w:hAnsi="仿宋_GB2312" w:eastAsia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hAnsi="仿宋_GB2312" w:eastAsia="仿宋_GB2312" w:cs="仿宋_GB2312"/>
              <w:snapToGrid w:val="0"/>
              <w:color w:val="000000"/>
              <w:spacing w:val="-4"/>
              <w:kern w:val="0"/>
              <w:sz w:val="32"/>
              <w:szCs w:val="32"/>
              <w:lang w:eastAsia="en-US"/>
            </w:rPr>
            <w:t>六、纪律要求</w:t>
          </w:r>
        </w:p>
      </w:sdtContent>
    </w:sdt>
    <w:p w14:paraId="52FD6501">
      <w:pPr>
        <w:kinsoku w:val="0"/>
        <w:autoSpaceDE w:val="0"/>
        <w:autoSpaceDN w:val="0"/>
        <w:adjustRightInd w:val="0"/>
        <w:snapToGrid w:val="0"/>
        <w:spacing w:before="195" w:line="580" w:lineRule="exact"/>
        <w:ind w:left="442"/>
        <w:jc w:val="left"/>
        <w:textAlignment w:val="baseline"/>
        <w:outlineLvl w:val="1"/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32"/>
          <w:szCs w:val="32"/>
          <w:lang w:eastAsia="en-US"/>
        </w:rPr>
        <w:t>七、题库</w:t>
      </w:r>
    </w:p>
    <w:p w14:paraId="55576A6C">
      <w:pPr>
        <w:spacing w:line="580" w:lineRule="exact"/>
        <w:sectPr>
          <w:headerReference r:id="rId3" w:type="default"/>
          <w:footerReference r:id="rId4" w:type="default"/>
          <w:pgSz w:w="11905" w:h="16840"/>
          <w:pgMar w:top="400" w:right="1785" w:bottom="1634" w:left="1749" w:header="0" w:footer="1366" w:gutter="0"/>
          <w:cols w:space="720" w:num="1"/>
        </w:sectPr>
      </w:pPr>
    </w:p>
    <w:p w14:paraId="0633E0B8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59"/>
        <w:jc w:val="left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7"/>
          <w:kern w:val="0"/>
          <w:sz w:val="32"/>
          <w:szCs w:val="32"/>
          <w:lang w:eastAsia="en-US"/>
        </w:rPr>
        <w:t>一、编制依据</w:t>
      </w:r>
    </w:p>
    <w:p w14:paraId="67EBE16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48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highlight w:val="none"/>
          <w:lang w:eastAsia="en-US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本技术文件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以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工业机器人系统操作员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国家职业技能标准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三级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为核心编制依据，考核内容全面覆盖国标80%以上知识与技能要点，严格遵循职业技能评价规范。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结合常州市打造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国际化智造名城，长三角创新高地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的战略定位，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深度对标国家及常州市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十五五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智能制造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相关要求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紧扣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智能制造转型升级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产线智能化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改造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、工业机器人智能化集成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等行业发展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</w:rPr>
        <w:t>新方向，立足本地智能制造企业、智能工厂生产线、工业自动化集成项目等一线岗位真实工作场景设计赛项，坚持以赛促训、以赛促评、以赛促业，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highlight w:val="none"/>
        </w:rPr>
        <w:t>助力区域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highlight w:val="none"/>
          <w:lang w:val="en-US" w:eastAsia="zh-CN"/>
        </w:rPr>
        <w:t>工业机器人行业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highlight w:val="none"/>
        </w:rPr>
        <w:t>人才队伍专业化建设。</w:t>
      </w:r>
    </w:p>
    <w:p w14:paraId="2495BAD8">
      <w:pPr>
        <w:keepLines w:val="0"/>
        <w:pageBreakBefore w:val="0"/>
        <w:widowControl/>
        <w:kinsoku/>
        <w:topLinePunct w:val="0"/>
        <w:bidi w:val="0"/>
        <w:spacing w:line="590" w:lineRule="exact"/>
        <w:ind w:firstLine="648" w:firstLineChars="200"/>
        <w:jc w:val="left"/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本次竞赛参考全国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工业机器人系统集成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职业技能大赛成熟办赛模式、命题规则与评判体系，结合常州市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工业机器人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行业人才培养、技能评价实际情况优化设计。赛题设置兼顾岗位实用性、技能专业性与人文服务理念，既考核标准化操作能力，也综合检验选手应急处置、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故障排除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等综合素养，确保竞赛兼具权威性、公平性与行业引领性。</w:t>
      </w:r>
    </w:p>
    <w:p w14:paraId="3B21DC28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56"/>
        <w:jc w:val="left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二、技术描述</w:t>
      </w:r>
    </w:p>
    <w:p w14:paraId="50C4A01C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 w:firstLineChars="200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4"/>
          <w:kern w:val="0"/>
          <w:sz w:val="32"/>
          <w:szCs w:val="32"/>
          <w:lang w:eastAsia="en-US"/>
        </w:rPr>
        <w:t>（一）赛项概要</w:t>
      </w:r>
    </w:p>
    <w:p w14:paraId="10B1C8FA">
      <w:pPr>
        <w:keepLines w:val="0"/>
        <w:pageBreakBefore w:val="0"/>
        <w:widowControl/>
        <w:kinsoku/>
        <w:topLinePunct w:val="0"/>
        <w:bidi w:val="0"/>
        <w:spacing w:line="590" w:lineRule="exact"/>
        <w:ind w:firstLine="648" w:firstLineChars="200"/>
        <w:jc w:val="left"/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本赛项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主要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面向常州市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机器人及自动化行业企事业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在岗职工，聚焦三级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工业机器人系统操作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</w:rPr>
        <w:t>员核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心岗位能力，全方位考核选手专业理论、实操技能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职业综合素养。竞赛分为理论知识考试、操作技能考核两大板块，理论知识考试采用标准化机考形式，依托专业考试系统进行作答，重点检验选手知识储备、制度认知与行业理解；操作技能考核采用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实操方式，选取工业机器人示教编程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工业机器人离线编程与仿真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的典型工作场景，融合现场操作、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理论考试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等多种考核形式，全面考查选手岗位实操能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zh-CN"/>
        </w:rPr>
        <w:t>力和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水平，以赛事为抓手推动全市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职工工业机器人操作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技能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水平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整体提升。</w:t>
      </w:r>
    </w:p>
    <w:p w14:paraId="224BCC18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8" w:firstLineChars="200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2"/>
          <w:kern w:val="0"/>
          <w:sz w:val="32"/>
          <w:szCs w:val="32"/>
          <w:lang w:eastAsia="en-US"/>
        </w:rPr>
        <w:t>（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-4"/>
          <w:kern w:val="0"/>
          <w:sz w:val="32"/>
          <w:szCs w:val="32"/>
          <w:lang w:eastAsia="en-US"/>
        </w:rPr>
        <w:t>二）能力特征</w:t>
      </w:r>
    </w:p>
    <w:p w14:paraId="1AA66A4E">
      <w:pPr>
        <w:keepNext w:val="0"/>
        <w:keepLines w:val="0"/>
        <w:widowControl/>
        <w:suppressLineNumbers w:val="0"/>
        <w:ind w:firstLine="648" w:firstLineChars="200"/>
        <w:jc w:val="left"/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依据《工业机器人系统操作员国家职业技能标准（三级/高级工》岗位要求，参赛选手需系统掌握工业机器人结构原理、运动控制特性、常见设备故障机理、工业生产安全规范及机器人作业相关行业法规、标准规范等理论知识，能够依托专业知识开展工业机器人操作与运维工作；熟练完成机器人示教编程、参数调试、设备点检保养、工位环境运维、故障排查修复及生产线协同作业等基础操作工作，具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备设备骤停、轨迹偏差、过载报警等突发异常工况的应急处置能力；可独立开展机器人零点校准、工装辅具调试安装、设备联动调试、生产线节拍优化等工作；擅长与自动化产线、智能控制系统、上下游工序设备开展协同适配作业，能够化解设备运行冲突、调试作业偏差、产线协同故障等问题，精准识别设备隐性故障与运行异常状态并规范记录上报；同时能恪守行业职业操守，拥有较强的责任心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严谨思维与安全生产意识，全面适配三级工业机器人系统操作员岗位履职要求。</w:t>
      </w:r>
    </w:p>
    <w:p w14:paraId="27352FD9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312" w:firstLineChars="100"/>
        <w:jc w:val="left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三、技术纲要</w:t>
      </w:r>
    </w:p>
    <w:p w14:paraId="59F7174E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04" w:firstLineChars="200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9"/>
          <w:kern w:val="0"/>
          <w:sz w:val="32"/>
          <w:szCs w:val="32"/>
          <w:lang w:eastAsia="en-US"/>
        </w:rPr>
        <w:t>（一）赛制</w:t>
      </w:r>
    </w:p>
    <w:p w14:paraId="1CFEF55D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8" w:firstLineChars="200"/>
        <w:jc w:val="left"/>
        <w:textAlignment w:val="baseline"/>
        <w:outlineLvl w:val="2"/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本次三级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工业机器人系统操作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员竞赛采用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理论知识考试+操作技能考核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组合赛制，全程为单人竞赛形式。赛项分阶段依次进行，首先开展理论知识机考，</w:t>
      </w:r>
      <w:r>
        <w:rPr>
          <w:rFonts w:ascii="Times New Roman" w:hAnsi="Times New Roman" w:eastAsia="仿宋_GB2312" w:cs="Times New Roman"/>
          <w:snapToGrid w:val="0"/>
          <w:spacing w:val="2"/>
          <w:kern w:val="0"/>
          <w:sz w:val="32"/>
          <w:szCs w:val="32"/>
        </w:rPr>
        <w:t>单人考试时长60分钟，随后进行现场操作技能考核，单人考试时长</w:t>
      </w:r>
      <w:r>
        <w:rPr>
          <w:rFonts w:hint="eastAsia" w:ascii="Times New Roman" w:hAnsi="Times New Roman" w:eastAsia="仿宋_GB2312" w:cs="Times New Roman"/>
          <w:snapToGrid w:val="0"/>
          <w:spacing w:val="2"/>
          <w:kern w:val="0"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仿宋_GB2312" w:cs="Times New Roman"/>
          <w:snapToGrid w:val="0"/>
          <w:spacing w:val="2"/>
          <w:kern w:val="0"/>
          <w:sz w:val="32"/>
          <w:szCs w:val="32"/>
        </w:rPr>
        <w:t>分钟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，操作考核内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容全面覆盖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机械系统装调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电气系统装调、系统操作与编程调试三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大核心模块。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32"/>
          <w:szCs w:val="32"/>
        </w:rPr>
        <w:t>选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手完成全部考核项目后综合两项成绩确定最终排名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竞赛全程音视频同步存档，总成绩相同时，按照操作技能分数高低优先排序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。</w:t>
      </w:r>
    </w:p>
    <w:p w14:paraId="65088DEF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568" w:firstLineChars="200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18"/>
          <w:kern w:val="0"/>
          <w:sz w:val="32"/>
          <w:szCs w:val="32"/>
          <w:lang w:eastAsia="en-US"/>
        </w:rPr>
        <w:t>（二）科目</w:t>
      </w:r>
    </w:p>
    <w:p w14:paraId="439AA024">
      <w:pPr>
        <w:keepLines w:val="0"/>
        <w:pageBreakBefore w:val="0"/>
        <w:widowControl/>
        <w:kinsoku/>
        <w:topLinePunct w:val="0"/>
        <w:bidi w:val="0"/>
        <w:spacing w:line="590" w:lineRule="exact"/>
        <w:ind w:firstLine="648" w:firstLineChars="200"/>
        <w:jc w:val="left"/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本赛项设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理论知识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+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操作技能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2个科目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。</w:t>
      </w:r>
    </w:p>
    <w:p w14:paraId="7A8C4308">
      <w:pPr>
        <w:keepLines w:val="0"/>
        <w:pageBreakBefore w:val="0"/>
        <w:widowControl/>
        <w:kinsoku/>
        <w:topLinePunct w:val="0"/>
        <w:bidi w:val="0"/>
        <w:spacing w:line="590" w:lineRule="exact"/>
        <w:ind w:firstLine="648" w:firstLineChars="200"/>
        <w:jc w:val="left"/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理论知识科目采用机考形式，考试时长60分钟，试卷满分为100分（60分以上合格）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题型包含单选题、多选题、判断题，内容涵盖职业道德、法律法规、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机械装调、电气装调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、示教编程、参数设定、离线编程与仿真，视觉系统集成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等相关知识，全面考查选手理论功底、知识理解与实际应用能力。</w:t>
      </w:r>
    </w:p>
    <w:p w14:paraId="4D401982">
      <w:pPr>
        <w:keepLines w:val="0"/>
        <w:pageBreakBefore w:val="0"/>
        <w:widowControl/>
        <w:kinsoku/>
        <w:topLinePunct w:val="0"/>
        <w:bidi w:val="0"/>
        <w:spacing w:line="590" w:lineRule="exact"/>
        <w:ind w:firstLine="648" w:firstLineChars="200"/>
        <w:jc w:val="left"/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操作技能科目采用实景模拟考核形式，考试时长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0分钟，试卷满分为100分（60分以上合格）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技能考核采用现场实操操作方式，综合考查选手安全防护布设、设备点检维护、故障基础排查等设备装调工作中的规范操作与安全风险防控能力；同时检验选手开展机器人示教编程、坐标系标定、IO 信号配置、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机器人运行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等系统操作调试服务的实操与工艺优化水平，以及设备故障识别、异常停机处置、设备运行状态监测、故障记录上报等专业处置能力；全方位衡量选手综合岗位技能与作业服务素养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本次竞赛总成绩计算方式为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总成绩=理论知识成绩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0% +操作技能成绩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0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，总成绩满分为100分（60分以上合格）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。</w:t>
      </w:r>
    </w:p>
    <w:p w14:paraId="547F7DAD">
      <w:pPr>
        <w:keepLines w:val="0"/>
        <w:pageBreakBefore w:val="0"/>
        <w:widowControl/>
        <w:kinsoku/>
        <w:topLinePunct w:val="0"/>
        <w:bidi w:val="0"/>
        <w:spacing w:line="590" w:lineRule="exact"/>
        <w:ind w:firstLine="648" w:firstLineChars="200"/>
        <w:jc w:val="left"/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两场考核均结束后，综合两场成绩得出最终排名，作为选手竞赛成果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评定依据。为保证竞赛公平性与规范性，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本次大赛采取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机考和裁判现场评分等方式，考试全程录像存档。综合总分同分情况下，操作技能分高者排名靠前。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若操作技能成绩同分，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完成操作任务时间短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者排名靠前。</w:t>
      </w:r>
    </w:p>
    <w:p w14:paraId="3100B531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58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Cs w:val="21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3"/>
          <w:kern w:val="0"/>
          <w:sz w:val="32"/>
          <w:szCs w:val="32"/>
          <w:lang w:eastAsia="en-US"/>
        </w:rPr>
        <w:t>（三）权重表</w:t>
      </w:r>
    </w:p>
    <w:tbl>
      <w:tblPr>
        <w:tblStyle w:val="6"/>
        <w:tblW w:w="8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30"/>
        <w:gridCol w:w="2108"/>
        <w:gridCol w:w="1956"/>
      </w:tblGrid>
      <w:tr w14:paraId="39E5F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2129" w:type="dxa"/>
            <w:vAlign w:val="center"/>
          </w:tcPr>
          <w:p w14:paraId="1371FE2D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pacing w:val="18"/>
                <w:sz w:val="32"/>
                <w:szCs w:val="32"/>
              </w:rPr>
              <w:t>科目</w:t>
            </w:r>
          </w:p>
        </w:tc>
        <w:tc>
          <w:tcPr>
            <w:tcW w:w="4238" w:type="dxa"/>
            <w:gridSpan w:val="2"/>
            <w:vAlign w:val="center"/>
          </w:tcPr>
          <w:p w14:paraId="4B850DCD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pacing w:val="-6"/>
                <w:sz w:val="32"/>
                <w:szCs w:val="32"/>
              </w:rPr>
              <w:t>模块</w:t>
            </w:r>
          </w:p>
        </w:tc>
        <w:tc>
          <w:tcPr>
            <w:tcW w:w="1956" w:type="dxa"/>
            <w:vAlign w:val="center"/>
          </w:tcPr>
          <w:p w14:paraId="202823B2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pacing w:val="11"/>
                <w:sz w:val="32"/>
                <w:szCs w:val="32"/>
              </w:rPr>
              <w:t>权重(%)</w:t>
            </w:r>
          </w:p>
        </w:tc>
      </w:tr>
      <w:tr w14:paraId="1E11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2129" w:type="dxa"/>
            <w:vMerge w:val="restart"/>
            <w:vAlign w:val="center"/>
          </w:tcPr>
          <w:p w14:paraId="7C2E4E3D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3"/>
                <w:sz w:val="32"/>
                <w:szCs w:val="32"/>
              </w:rPr>
              <w:t>理论知识</w:t>
            </w:r>
          </w:p>
        </w:tc>
        <w:tc>
          <w:tcPr>
            <w:tcW w:w="2130" w:type="dxa"/>
            <w:vMerge w:val="restart"/>
            <w:vAlign w:val="center"/>
          </w:tcPr>
          <w:p w14:paraId="33B5BE0D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32"/>
                <w:szCs w:val="32"/>
              </w:rPr>
              <w:t>基础知识</w:t>
            </w:r>
          </w:p>
        </w:tc>
        <w:tc>
          <w:tcPr>
            <w:tcW w:w="2108" w:type="dxa"/>
            <w:vAlign w:val="center"/>
          </w:tcPr>
          <w:p w14:paraId="74FD15A3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1"/>
                <w:sz w:val="32"/>
                <w:szCs w:val="32"/>
              </w:rPr>
              <w:t>职业道德</w:t>
            </w:r>
          </w:p>
        </w:tc>
        <w:tc>
          <w:tcPr>
            <w:tcW w:w="1956" w:type="dxa"/>
            <w:vAlign w:val="center"/>
          </w:tcPr>
          <w:p w14:paraId="50469C16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 w14:paraId="5FBE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2129" w:type="dxa"/>
            <w:vMerge w:val="continue"/>
            <w:vAlign w:val="center"/>
          </w:tcPr>
          <w:p w14:paraId="42737785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3134946F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7192459E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1"/>
                <w:sz w:val="32"/>
                <w:szCs w:val="32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spacing w:val="1"/>
                <w:sz w:val="32"/>
                <w:szCs w:val="32"/>
              </w:rPr>
              <w:t>知识</w:t>
            </w:r>
          </w:p>
        </w:tc>
        <w:tc>
          <w:tcPr>
            <w:tcW w:w="1956" w:type="dxa"/>
            <w:vAlign w:val="center"/>
          </w:tcPr>
          <w:p w14:paraId="1D6D1874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</w:tr>
      <w:tr w14:paraId="3DA2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  <w:jc w:val="center"/>
        </w:trPr>
        <w:tc>
          <w:tcPr>
            <w:tcW w:w="2129" w:type="dxa"/>
            <w:vMerge w:val="continue"/>
            <w:vAlign w:val="center"/>
          </w:tcPr>
          <w:p w14:paraId="464FF4A2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30" w:type="dxa"/>
            <w:vMerge w:val="restart"/>
            <w:vAlign w:val="center"/>
          </w:tcPr>
          <w:p w14:paraId="4F96F610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32"/>
                <w:szCs w:val="32"/>
              </w:rPr>
              <w:t>相关知识</w:t>
            </w:r>
          </w:p>
        </w:tc>
        <w:tc>
          <w:tcPr>
            <w:tcW w:w="2108" w:type="dxa"/>
            <w:vAlign w:val="center"/>
          </w:tcPr>
          <w:p w14:paraId="2032BAAF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机械系统装调</w:t>
            </w:r>
          </w:p>
        </w:tc>
        <w:tc>
          <w:tcPr>
            <w:tcW w:w="1956" w:type="dxa"/>
            <w:vAlign w:val="center"/>
          </w:tcPr>
          <w:p w14:paraId="2750DF84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8"/>
                <w:sz w:val="32"/>
                <w:szCs w:val="32"/>
                <w:lang w:val="en-US" w:eastAsia="zh-CN"/>
              </w:rPr>
              <w:t>20</w:t>
            </w:r>
          </w:p>
        </w:tc>
      </w:tr>
      <w:tr w14:paraId="1273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  <w:jc w:val="center"/>
        </w:trPr>
        <w:tc>
          <w:tcPr>
            <w:tcW w:w="2129" w:type="dxa"/>
            <w:vMerge w:val="continue"/>
            <w:vAlign w:val="center"/>
          </w:tcPr>
          <w:p w14:paraId="6212E642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1FF7B9D7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678E80E9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电气系统装调</w:t>
            </w:r>
          </w:p>
        </w:tc>
        <w:tc>
          <w:tcPr>
            <w:tcW w:w="1956" w:type="dxa"/>
            <w:vAlign w:val="center"/>
          </w:tcPr>
          <w:p w14:paraId="538ABF99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32"/>
                <w:szCs w:val="32"/>
                <w:lang w:val="en-US" w:eastAsia="zh-CN"/>
              </w:rPr>
              <w:t>20</w:t>
            </w:r>
          </w:p>
        </w:tc>
      </w:tr>
      <w:tr w14:paraId="6ECD2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  <w:jc w:val="center"/>
        </w:trPr>
        <w:tc>
          <w:tcPr>
            <w:tcW w:w="2129" w:type="dxa"/>
            <w:vMerge w:val="continue"/>
            <w:vAlign w:val="center"/>
          </w:tcPr>
          <w:p w14:paraId="681A3389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03DAA762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68C1B6AE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系统操作与编程调试</w:t>
            </w:r>
          </w:p>
        </w:tc>
        <w:tc>
          <w:tcPr>
            <w:tcW w:w="1956" w:type="dxa"/>
            <w:vAlign w:val="center"/>
          </w:tcPr>
          <w:p w14:paraId="3688F03D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4"/>
                <w:sz w:val="32"/>
                <w:szCs w:val="32"/>
                <w:lang w:val="en-US" w:eastAsia="zh-CN"/>
              </w:rPr>
              <w:t>45</w:t>
            </w:r>
          </w:p>
        </w:tc>
      </w:tr>
      <w:tr w14:paraId="59F72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  <w:jc w:val="center"/>
        </w:trPr>
        <w:tc>
          <w:tcPr>
            <w:tcW w:w="2129" w:type="dxa"/>
            <w:vMerge w:val="continue"/>
            <w:vAlign w:val="center"/>
          </w:tcPr>
          <w:p w14:paraId="276C58DB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b/>
                <w:sz w:val="32"/>
                <w:szCs w:val="32"/>
              </w:rPr>
            </w:pPr>
          </w:p>
        </w:tc>
        <w:tc>
          <w:tcPr>
            <w:tcW w:w="4238" w:type="dxa"/>
            <w:gridSpan w:val="2"/>
            <w:vAlign w:val="center"/>
          </w:tcPr>
          <w:p w14:paraId="6857066D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5"/>
                <w:sz w:val="32"/>
                <w:szCs w:val="32"/>
              </w:rPr>
              <w:t>合计</w:t>
            </w:r>
          </w:p>
        </w:tc>
        <w:tc>
          <w:tcPr>
            <w:tcW w:w="1956" w:type="dxa"/>
            <w:vAlign w:val="center"/>
          </w:tcPr>
          <w:p w14:paraId="78BECE24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7"/>
                <w:sz w:val="32"/>
                <w:szCs w:val="32"/>
              </w:rPr>
              <w:t>100</w:t>
            </w:r>
          </w:p>
        </w:tc>
      </w:tr>
      <w:tr w14:paraId="2E12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8" w:hRule="atLeast"/>
          <w:jc w:val="center"/>
        </w:trPr>
        <w:tc>
          <w:tcPr>
            <w:tcW w:w="2129" w:type="dxa"/>
            <w:vMerge w:val="restart"/>
            <w:vAlign w:val="center"/>
          </w:tcPr>
          <w:p w14:paraId="6F3E5C7C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黑体" w:hAnsi="黑体" w:eastAsia="黑体" w:cs="黑体"/>
                <w:spacing w:val="3"/>
                <w:sz w:val="32"/>
                <w:szCs w:val="32"/>
                <w:lang w:eastAsia="zh-CN"/>
              </w:rPr>
            </w:pPr>
          </w:p>
          <w:p w14:paraId="601B59F4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黑体" w:hAnsi="黑体" w:eastAsia="黑体" w:cs="黑体"/>
                <w:spacing w:val="3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3"/>
                <w:sz w:val="32"/>
                <w:szCs w:val="32"/>
                <w:lang w:eastAsia="zh-CN"/>
              </w:rPr>
              <w:t>操作技能</w:t>
            </w:r>
          </w:p>
          <w:p w14:paraId="09C476C0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eastAsia" w:ascii="黑体" w:hAnsi="黑体" w:eastAsia="黑体" w:cs="黑体"/>
                <w:spacing w:val="3"/>
                <w:sz w:val="32"/>
                <w:szCs w:val="32"/>
                <w:lang w:eastAsia="zh-CN"/>
              </w:rPr>
            </w:pPr>
          </w:p>
          <w:p w14:paraId="57DA3EC6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黑体" w:hAnsi="黑体" w:eastAsia="黑体" w:cs="黑体"/>
                <w:spacing w:val="3"/>
                <w:sz w:val="32"/>
                <w:szCs w:val="32"/>
                <w:lang w:eastAsia="zh-CN"/>
              </w:rPr>
            </w:pPr>
          </w:p>
          <w:p w14:paraId="7F46FD00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rPr>
                <w:rFonts w:ascii="黑体" w:hAnsi="黑体" w:eastAsia="黑体" w:cs="黑体"/>
                <w:spacing w:val="3"/>
                <w:sz w:val="32"/>
                <w:szCs w:val="32"/>
                <w:lang w:eastAsia="zh-CN"/>
              </w:rPr>
            </w:pPr>
          </w:p>
        </w:tc>
        <w:tc>
          <w:tcPr>
            <w:tcW w:w="2130" w:type="dxa"/>
            <w:vMerge w:val="restart"/>
            <w:vAlign w:val="center"/>
          </w:tcPr>
          <w:p w14:paraId="5DAEEEA8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pacing w:val="2"/>
                <w:sz w:val="32"/>
                <w:szCs w:val="32"/>
              </w:rPr>
            </w:pPr>
          </w:p>
          <w:p w14:paraId="4F038FE9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2"/>
                <w:sz w:val="32"/>
                <w:szCs w:val="32"/>
              </w:rPr>
              <w:t>操作技能</w:t>
            </w:r>
          </w:p>
          <w:p w14:paraId="0C4C2866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pacing w:val="2"/>
                <w:sz w:val="32"/>
                <w:szCs w:val="32"/>
              </w:rPr>
            </w:pPr>
          </w:p>
          <w:p w14:paraId="4B3C0685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pacing w:val="2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36994DEB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机械系统装调</w:t>
            </w:r>
          </w:p>
        </w:tc>
        <w:tc>
          <w:tcPr>
            <w:tcW w:w="1956" w:type="dxa"/>
            <w:vAlign w:val="center"/>
          </w:tcPr>
          <w:p w14:paraId="60F46B05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15</w:t>
            </w:r>
          </w:p>
        </w:tc>
      </w:tr>
      <w:tr w14:paraId="5030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29" w:type="dxa"/>
            <w:vMerge w:val="continue"/>
            <w:vAlign w:val="center"/>
          </w:tcPr>
          <w:p w14:paraId="52DC7FFC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41F81796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0D1B2D93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电气系统装调</w:t>
            </w:r>
          </w:p>
        </w:tc>
        <w:tc>
          <w:tcPr>
            <w:tcW w:w="1956" w:type="dxa"/>
            <w:vAlign w:val="center"/>
          </w:tcPr>
          <w:p w14:paraId="1E0CBE5B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</w:t>
            </w:r>
          </w:p>
        </w:tc>
      </w:tr>
      <w:tr w14:paraId="2EF5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  <w:jc w:val="center"/>
        </w:trPr>
        <w:tc>
          <w:tcPr>
            <w:tcW w:w="2129" w:type="dxa"/>
            <w:vMerge w:val="continue"/>
            <w:vAlign w:val="center"/>
          </w:tcPr>
          <w:p w14:paraId="23050AE6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3DF1D620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7EAF4306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系统操作与编程调试</w:t>
            </w:r>
          </w:p>
        </w:tc>
        <w:tc>
          <w:tcPr>
            <w:tcW w:w="1956" w:type="dxa"/>
            <w:vAlign w:val="center"/>
          </w:tcPr>
          <w:p w14:paraId="6BB17593">
            <w:pPr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65</w:t>
            </w:r>
          </w:p>
        </w:tc>
      </w:tr>
      <w:tr w14:paraId="56BD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29" w:type="dxa"/>
            <w:vMerge w:val="continue"/>
            <w:vAlign w:val="center"/>
          </w:tcPr>
          <w:p w14:paraId="03E460F8">
            <w:pPr>
              <w:pStyle w:val="7"/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8" w:type="dxa"/>
            <w:gridSpan w:val="2"/>
            <w:vAlign w:val="center"/>
          </w:tcPr>
          <w:p w14:paraId="0CCD51A3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5"/>
                <w:sz w:val="32"/>
                <w:szCs w:val="32"/>
              </w:rPr>
              <w:t>合计</w:t>
            </w:r>
          </w:p>
        </w:tc>
        <w:tc>
          <w:tcPr>
            <w:tcW w:w="1956" w:type="dxa"/>
            <w:vAlign w:val="center"/>
          </w:tcPr>
          <w:p w14:paraId="2575982D">
            <w:pPr>
              <w:keepLines w:val="0"/>
              <w:pageBreakBefore w:val="0"/>
              <w:kinsoku/>
              <w:wordWrap w:val="0"/>
              <w:topLinePunct w:val="0"/>
              <w:bidi w:val="0"/>
              <w:adjustRightInd w:val="0"/>
              <w:snapToGrid w:val="0"/>
              <w:spacing w:line="59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pacing w:val="-7"/>
                <w:sz w:val="32"/>
                <w:szCs w:val="32"/>
              </w:rPr>
              <w:t>100</w:t>
            </w:r>
          </w:p>
        </w:tc>
      </w:tr>
    </w:tbl>
    <w:p w14:paraId="7E74DFB1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 w:firstLineChars="200"/>
        <w:jc w:val="left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四、场地设施设备简述</w:t>
      </w:r>
    </w:p>
    <w:p w14:paraId="4787C524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58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3"/>
          <w:kern w:val="0"/>
          <w:sz w:val="32"/>
          <w:szCs w:val="32"/>
          <w:lang w:eastAsia="en-US"/>
        </w:rPr>
        <w:t>（一）场地规模</w:t>
      </w:r>
    </w:p>
    <w:p w14:paraId="5D16C2A3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8" w:firstLineChars="200"/>
        <w:jc w:val="left"/>
        <w:textAlignment w:val="baseline"/>
        <w:outlineLvl w:val="1"/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  <w:lang w:eastAsia="en-US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本赛项在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常州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信息职业技术大学工业机器人实训中心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举行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竞赛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主要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划分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  <w:lang w:eastAsia="en-US"/>
        </w:rPr>
        <w:t>理论考试区、操作技能考核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  <w:lang w:val="en-US" w:eastAsia="zh-CN"/>
        </w:rPr>
        <w:t>区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两大独立功能区域。理论考试区设置标准化机房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间，可同时容纳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0名选手上机考试。</w:t>
      </w:r>
    </w:p>
    <w:p w14:paraId="4911C6C2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8" w:firstLineChars="200"/>
        <w:jc w:val="left"/>
        <w:textAlignment w:val="baseline"/>
        <w:outlineLvl w:val="1"/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  <w:lang w:eastAsia="en-US"/>
        </w:rPr>
        <w:t>操作技能考核区按照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  <w:lang w:val="en-US" w:eastAsia="zh-CN"/>
        </w:rPr>
        <w:t>功能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  <w:lang w:eastAsia="en-US"/>
        </w:rPr>
        <w:t>分区布局，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2"/>
          <w:kern w:val="0"/>
          <w:sz w:val="32"/>
          <w:szCs w:val="32"/>
          <w:highlight w:val="none"/>
          <w:lang w:eastAsia="en-US"/>
        </w:rPr>
        <w:t>分别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2"/>
          <w:kern w:val="0"/>
          <w:sz w:val="32"/>
          <w:szCs w:val="32"/>
          <w:highlight w:val="none"/>
          <w:lang w:val="en-US" w:eastAsia="zh-CN"/>
        </w:rPr>
        <w:t>设置技能考核区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highlight w:val="none"/>
          <w:lang w:eastAsia="en-US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裁判工作区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技术支持人员工作区、医务人员工作区、志愿者工作区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等多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个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区域，满足赛事全流程运行需求。</w:t>
      </w:r>
    </w:p>
    <w:p w14:paraId="4929CE5C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8" w:firstLineChars="200"/>
        <w:jc w:val="left"/>
        <w:textAlignment w:val="baseline"/>
        <w:outlineLvl w:val="1"/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全场设置应急疏散通道，通道全程保持畅通、无杂物遮挡，并张贴清晰疏散指引标识；各功能区域划分安全警戒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</w:rPr>
        <w:t>标识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线，明确选手行进路线、工作人员专用路线，实现人流分流，避免拥挤、交叉干扰。理论机房、实操考区、候考室均设置安全值守点位，安排专人定点巡查。赛场单独设立医疗应急专区，位置醒目、通达性强，保障突发情况快速处置。</w:t>
      </w:r>
    </w:p>
    <w:p w14:paraId="147950E8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58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2"/>
          <w:szCs w:val="21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5"/>
          <w:kern w:val="0"/>
          <w:sz w:val="32"/>
          <w:szCs w:val="32"/>
          <w:lang w:eastAsia="en-US"/>
        </w:rPr>
        <w:t>（二）设施条件</w:t>
      </w:r>
    </w:p>
    <w:tbl>
      <w:tblPr>
        <w:tblStyle w:val="3"/>
        <w:tblW w:w="82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4173"/>
        <w:gridCol w:w="3919"/>
      </w:tblGrid>
      <w:tr w14:paraId="29C4E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A93B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D4FC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</w:rPr>
              <w:t>设施类别</w:t>
            </w: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45B6D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</w:rPr>
              <w:t>参数规格</w:t>
            </w:r>
          </w:p>
        </w:tc>
      </w:tr>
      <w:tr w14:paraId="60228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C062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A7FE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电力设施</w:t>
            </w: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CB2D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220V标准商用电</w:t>
            </w:r>
          </w:p>
        </w:tc>
      </w:tr>
      <w:tr w14:paraId="238A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F2DE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0351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照明设施</w:t>
            </w: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AAC4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9~11W/㎡标准配置</w:t>
            </w:r>
          </w:p>
        </w:tc>
      </w:tr>
      <w:tr w14:paraId="1B01D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C57A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DC5C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网络设施</w:t>
            </w: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F43F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千兆光纤</w:t>
            </w:r>
          </w:p>
        </w:tc>
      </w:tr>
      <w:tr w14:paraId="6F2E8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E8CE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2223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标准化机房</w:t>
            </w: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7593B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符合技能机考标准（配有防窥挡板）</w:t>
            </w:r>
          </w:p>
        </w:tc>
      </w:tr>
      <w:tr w14:paraId="52346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22A28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EFBA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  <w:t>工业机器人系统操作技能考核室</w:t>
            </w: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8FBD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  <w:t>Fanuc LR mate 200ID 工业机器人技能考核设备14套，配备监控系统，面积300平米。</w:t>
            </w:r>
          </w:p>
        </w:tc>
      </w:tr>
      <w:tr w14:paraId="0CC4A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BD03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D530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备赛室</w:t>
            </w: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90B1">
            <w:pPr>
              <w:keepNext/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配套座椅、置物区、更衣饮水设施等</w:t>
            </w:r>
          </w:p>
        </w:tc>
      </w:tr>
    </w:tbl>
    <w:p w14:paraId="32F386AD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0" w:firstLineChars="200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2"/>
          <w:szCs w:val="21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5"/>
          <w:kern w:val="0"/>
          <w:sz w:val="32"/>
          <w:szCs w:val="32"/>
          <w:lang w:eastAsia="en-US"/>
        </w:rPr>
        <w:t>（三）设备条件</w:t>
      </w:r>
    </w:p>
    <w:tbl>
      <w:tblPr>
        <w:tblStyle w:val="3"/>
        <w:tblW w:w="888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6393"/>
        <w:gridCol w:w="1597"/>
      </w:tblGrid>
      <w:tr w14:paraId="095B7B67">
        <w:trPr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ED1D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9200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</w:rPr>
              <w:t>物资名称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4241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32"/>
                <w:szCs w:val="32"/>
              </w:rPr>
              <w:t>数量</w:t>
            </w:r>
          </w:p>
        </w:tc>
      </w:tr>
      <w:tr w14:paraId="64CB8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C4CC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382A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标准化计算机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A0F87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  <w:t>100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 台</w:t>
            </w:r>
          </w:p>
        </w:tc>
      </w:tr>
      <w:tr w14:paraId="6B39F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F487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23881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考试专用座椅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FEA9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  <w:t>100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 张</w:t>
            </w:r>
          </w:p>
        </w:tc>
      </w:tr>
      <w:tr w14:paraId="501E9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7D5B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4300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选手身份核验设备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1892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4 套</w:t>
            </w:r>
          </w:p>
        </w:tc>
      </w:tr>
      <w:tr w14:paraId="0757D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2FD2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876E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电子计时系统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B808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4 套</w:t>
            </w:r>
          </w:p>
        </w:tc>
      </w:tr>
      <w:tr w14:paraId="79D7D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C97B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CDDB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机房全域监控设备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47F4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4 套</w:t>
            </w:r>
          </w:p>
        </w:tc>
      </w:tr>
      <w:tr w14:paraId="73F75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573B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FA81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/>
              </w:rPr>
              <w:t>FANUC LR MATE 200 ID 工业机器人设备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0201">
            <w:pPr>
              <w:keepLines w:val="0"/>
              <w:pageBreakBefore w:val="0"/>
              <w:widowControl/>
              <w:kinsoku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spacing w:val="-1"/>
                <w:kern w:val="0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pacing w:val="-1"/>
                <w:kern w:val="0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napToGrid w:val="0"/>
                <w:spacing w:val="-1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napToGrid w:val="0"/>
                <w:spacing w:val="-1"/>
                <w:kern w:val="0"/>
                <w:sz w:val="32"/>
                <w:szCs w:val="32"/>
                <w:lang w:val="en-US" w:eastAsia="zh-CN"/>
              </w:rPr>
              <w:t>套</w:t>
            </w:r>
          </w:p>
        </w:tc>
      </w:tr>
    </w:tbl>
    <w:p w14:paraId="6D75718D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 w:firstLineChars="200"/>
        <w:jc w:val="left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五、技术团队组成人员</w:t>
      </w:r>
    </w:p>
    <w:p w14:paraId="63D1929A">
      <w:pPr>
        <w:keepLines w:val="0"/>
        <w:pageBreakBefore w:val="0"/>
        <w:widowControl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704" w:firstLineChars="200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16"/>
          <w:sz w:val="32"/>
          <w:szCs w:val="32"/>
        </w:rPr>
        <w:t>(一)专家组</w:t>
      </w:r>
    </w:p>
    <w:p w14:paraId="03A4D685">
      <w:pPr>
        <w:keepLines w:val="0"/>
        <w:pageBreakBefore w:val="0"/>
        <w:widowControl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12" w:firstLineChars="200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1.专家组长：</w:t>
      </w: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史新民</w:t>
      </w:r>
    </w:p>
    <w:p w14:paraId="4BC0B907">
      <w:pPr>
        <w:keepLines w:val="0"/>
        <w:pageBreakBefore w:val="0"/>
        <w:widowControl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12" w:firstLineChars="200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2.专家组员：</w:t>
      </w: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宋治国、颜鹏</w:t>
      </w:r>
    </w:p>
    <w:p w14:paraId="62C9724B">
      <w:pPr>
        <w:keepLines w:val="0"/>
        <w:pageBreakBefore w:val="0"/>
        <w:widowControl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704" w:firstLineChars="200"/>
        <w:textAlignment w:val="baseline"/>
        <w:outlineLvl w:val="1"/>
        <w:rPr>
          <w:rFonts w:hint="default" w:ascii="Times New Roman" w:hAnsi="Times New Roman" w:eastAsia="仿宋_GB2312" w:cs="Times New Roman"/>
          <w:spacing w:val="16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16"/>
          <w:sz w:val="32"/>
          <w:szCs w:val="32"/>
        </w:rPr>
        <w:t>(二)裁判组</w:t>
      </w:r>
    </w:p>
    <w:p w14:paraId="0CB08CFB">
      <w:pPr>
        <w:keepLines w:val="0"/>
        <w:pageBreakBefore w:val="0"/>
        <w:widowControl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12" w:firstLineChars="200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1.裁判长：</w:t>
      </w: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颜鹏</w:t>
      </w:r>
    </w:p>
    <w:p w14:paraId="577DC461">
      <w:pPr>
        <w:pStyle w:val="8"/>
        <w:keepLines w:val="0"/>
        <w:pageBreakBefore w:val="0"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12"/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2.裁判员：</w:t>
      </w:r>
      <w:r>
        <w:rPr>
          <w:rFonts w:hint="default" w:ascii="Times New Roman" w:hAnsi="Times New Roman" w:eastAsia="仿宋_GB2312" w:cs="Times New Roman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支则君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眭翔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许文稼、汤晶</w:t>
      </w:r>
    </w:p>
    <w:p w14:paraId="3E4D0235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 w:firstLineChars="200"/>
        <w:jc w:val="left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六、纪律要求</w:t>
      </w:r>
    </w:p>
    <w:p w14:paraId="0AFCEDAB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37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Cs w:val="21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6"/>
          <w:kern w:val="0"/>
          <w:sz w:val="32"/>
          <w:szCs w:val="32"/>
          <w:lang w:eastAsia="en-US"/>
        </w:rPr>
        <w:t>（一）通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-6"/>
          <w:kern w:val="0"/>
          <w:sz w:val="32"/>
          <w:szCs w:val="32"/>
        </w:rPr>
        <w:t>则</w:t>
      </w:r>
    </w:p>
    <w:p w14:paraId="2444FED1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1" w:right="99" w:firstLine="659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1.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本赛项将严格遵守公平、公正、公开的原则，对出现的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任何违规行为，一经查处严肃处理。</w:t>
      </w:r>
    </w:p>
    <w:p w14:paraId="4E110836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" w:right="99" w:firstLine="633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2.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参与本赛项的所有人员应按规定的时间、地点、场次参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加比赛，不得无故迟到、早退、缺席。</w:t>
      </w:r>
    </w:p>
    <w:p w14:paraId="44E22876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3" w:right="99" w:firstLine="632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highlight w:val="none"/>
          <w:lang w:eastAsia="en-US"/>
        </w:rPr>
        <w:t>参与本赛项的所有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highlight w:val="none"/>
          <w:lang w:eastAsia="en-US"/>
        </w:rPr>
        <w:t>人员应当佩戴组委会配发的证件，服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从组委会统一指挥，共同保证比赛顺利进行。</w:t>
      </w:r>
    </w:p>
    <w:p w14:paraId="6AA45376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37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6"/>
          <w:kern w:val="0"/>
          <w:sz w:val="32"/>
          <w:szCs w:val="32"/>
          <w:lang w:eastAsia="en-US"/>
        </w:rPr>
        <w:t>（二）参赛选手</w:t>
      </w:r>
    </w:p>
    <w:p w14:paraId="46478859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9" w:right="99" w:firstLine="65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1.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参赛选手需携带参赛证、身份证等证件进入赛场，并将</w:t>
      </w: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手机关机。未带证件者，不得参赛。</w:t>
      </w:r>
    </w:p>
    <w:p w14:paraId="006A2523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3" w:right="99" w:firstLine="626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2.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参赛选手在比赛开始前</w:t>
      </w: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30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分钟进入比赛候考区，在现场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工作人员引导下，进行赛前准备，检查并确认所需物品。</w:t>
      </w:r>
    </w:p>
    <w:p w14:paraId="52328779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12" w:firstLine="646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3.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理论考试开始前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15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分钟，参赛选手凭证件进入规定考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场，</w:t>
      </w:r>
      <w:r>
        <w:rPr>
          <w:rFonts w:ascii="Times New Roman" w:hAnsi="Times New Roman" w:eastAsia="仿宋_GB2312" w:cs="Times New Roman"/>
          <w:snapToGrid w:val="0"/>
          <w:color w:val="000000"/>
          <w:spacing w:val="-12"/>
          <w:kern w:val="0"/>
          <w:sz w:val="32"/>
          <w:szCs w:val="32"/>
          <w:lang w:eastAsia="en-US"/>
        </w:rPr>
        <w:t>并将证件放在考桌左上角，以便监考人员查验。考试过程中，参</w:t>
      </w: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赛选手应独立完成答题。</w:t>
      </w:r>
    </w:p>
    <w:p w14:paraId="1D819AB7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2" w:right="99" w:firstLine="625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4.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参赛选手必须按指定时间进入赛场，迟到</w:t>
      </w: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30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分钟者不得</w:t>
      </w:r>
      <w:r>
        <w:rPr>
          <w:rFonts w:ascii="Times New Roman" w:hAnsi="Times New Roman" w:eastAsia="仿宋_GB2312" w:cs="Times New Roman"/>
          <w:snapToGrid w:val="0"/>
          <w:color w:val="000000"/>
          <w:spacing w:val="-14"/>
          <w:kern w:val="0"/>
          <w:sz w:val="32"/>
          <w:szCs w:val="32"/>
          <w:lang w:eastAsia="en-US"/>
        </w:rPr>
        <w:t>参加比赛。</w:t>
      </w:r>
    </w:p>
    <w:p w14:paraId="343F9A94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36" w:right="99" w:firstLine="612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5.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裁判长宣布比赛开始，参赛选手方可答题，比赛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开始计</w:t>
      </w:r>
      <w:r>
        <w:rPr>
          <w:rFonts w:ascii="Times New Roman" w:hAnsi="Times New Roman" w:eastAsia="仿宋_GB2312" w:cs="Times New Roman"/>
          <w:snapToGrid w:val="0"/>
          <w:color w:val="000000"/>
          <w:spacing w:val="-27"/>
          <w:kern w:val="0"/>
          <w:sz w:val="32"/>
          <w:szCs w:val="32"/>
          <w:lang w:eastAsia="en-US"/>
        </w:rPr>
        <w:t>时。</w:t>
      </w:r>
    </w:p>
    <w:p w14:paraId="2C967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6" w:right="99" w:firstLine="62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6.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裁判长宣布比赛结束，参赛选手应立即停止答题，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不得</w:t>
      </w: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以任何理由拖延竞赛时间，若提前结束比赛，应向裁判</w:t>
      </w: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</w:rPr>
        <w:t>工作人员</w:t>
      </w: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举手示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意，经裁判员同意后，视为提前结束比赛。</w:t>
      </w:r>
    </w:p>
    <w:p w14:paraId="3918B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firstLine="624" w:firstLineChars="20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7.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参赛人员应爱护赛场所有设施，自觉维持赛场环境卫生，</w:t>
      </w:r>
      <w:r>
        <w:rPr>
          <w:rFonts w:ascii="Times New Roman" w:hAnsi="Times New Roman" w:eastAsia="仿宋_GB2312" w:cs="Times New Roman"/>
          <w:snapToGrid w:val="0"/>
          <w:color w:val="000000"/>
          <w:spacing w:val="-23"/>
          <w:kern w:val="0"/>
          <w:sz w:val="32"/>
          <w:szCs w:val="32"/>
          <w:lang w:eastAsia="en-US"/>
        </w:rPr>
        <w:t>操作设备应谨慎，不得违章操作，如遇损坏、丢失等现象照价赔偿。</w:t>
      </w:r>
    </w:p>
    <w:p w14:paraId="64722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87" w:firstLine="650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8.</w:t>
      </w:r>
      <w:r>
        <w:rPr>
          <w:rFonts w:ascii="Times New Roman" w:hAnsi="Times New Roman" w:eastAsia="仿宋_GB2312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比赛过程中，参赛选手须严格遵守操作规程，确保人身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及设备安全，并接受裁判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</w:rPr>
        <w:t>工作人员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的监督和警示，出现设备故障等问题时，参赛选手应请裁判员对故障进行确认，对于因设备自身故障</w:t>
      </w:r>
      <w:r>
        <w:rPr>
          <w:rFonts w:ascii="Times New Roman" w:hAnsi="Times New Roman" w:eastAsia="仿宋_GB2312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造成暂停和时间损失，该参赛选手的比赛时间酌情增补。</w:t>
      </w:r>
    </w:p>
    <w:p w14:paraId="0C5E8D28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34"/>
        <w:jc w:val="left"/>
        <w:textAlignment w:val="baseline"/>
        <w:outlineLvl w:val="2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-12"/>
          <w:kern w:val="0"/>
          <w:sz w:val="32"/>
          <w:szCs w:val="32"/>
          <w:lang w:eastAsia="en-US"/>
        </w:rPr>
        <w:t>（三）裁判人员</w:t>
      </w:r>
    </w:p>
    <w:p w14:paraId="03DFF2BF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3" w:right="88" w:firstLine="654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1.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裁判人员在比赛前必须了解赛场情况、比赛规则及注意</w:t>
      </w: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事项，不得泄露比赛的有关信息。</w:t>
      </w:r>
    </w:p>
    <w:p w14:paraId="375C136B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3" w:firstLine="613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2.</w:t>
      </w:r>
      <w:r>
        <w:rPr>
          <w:rFonts w:ascii="Times New Roman" w:hAnsi="Times New Roman" w:eastAsia="仿宋_GB2312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赛前裁判人员要集中学习有关文件，明确责任和分工，</w:t>
      </w:r>
      <w:r>
        <w:rPr>
          <w:rFonts w:ascii="Times New Roman" w:hAnsi="Times New Roman" w:eastAsia="仿宋_GB2312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熟悉和掌握比赛的具体要求，严格遵守竞赛规则，做到评</w:t>
      </w:r>
      <w:r>
        <w:rPr>
          <w:rFonts w:ascii="Times New Roman" w:hAnsi="Times New Roman" w:eastAsia="仿宋_GB2312" w:cs="Times New Roman"/>
          <w:snapToGrid w:val="0"/>
          <w:color w:val="000000"/>
          <w:spacing w:val="-14"/>
          <w:kern w:val="0"/>
          <w:sz w:val="32"/>
          <w:szCs w:val="32"/>
          <w:lang w:eastAsia="en-US"/>
        </w:rPr>
        <w:t>判公正，</w:t>
      </w:r>
      <w:r>
        <w:rPr>
          <w:rFonts w:ascii="Times New Roman" w:hAnsi="Times New Roman" w:eastAsia="仿宋_GB2312" w:cs="Times New Roman"/>
          <w:snapToGrid w:val="0"/>
          <w:color w:val="000000"/>
          <w:spacing w:val="-17"/>
          <w:kern w:val="0"/>
          <w:sz w:val="32"/>
          <w:szCs w:val="32"/>
          <w:lang w:eastAsia="en-US"/>
        </w:rPr>
        <w:t>一视同仁。</w:t>
      </w:r>
    </w:p>
    <w:p w14:paraId="4DABAF97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3" w:right="87" w:firstLine="63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裁判人员应在工作前</w:t>
      </w: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30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分钟到达比赛场地，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佩戴好执裁</w:t>
      </w:r>
      <w:r>
        <w:rPr>
          <w:rFonts w:ascii="Times New Roman" w:hAnsi="Times New Roman" w:eastAsia="仿宋_GB2312" w:cs="Times New Roman"/>
          <w:snapToGrid w:val="0"/>
          <w:color w:val="000000"/>
          <w:spacing w:val="-12"/>
          <w:kern w:val="0"/>
          <w:sz w:val="32"/>
          <w:szCs w:val="32"/>
          <w:lang w:eastAsia="en-US"/>
        </w:rPr>
        <w:t>证，将手机处于关闭状态。裁判员应仪表整洁，语言</w:t>
      </w:r>
      <w:r>
        <w:rPr>
          <w:rFonts w:ascii="Times New Roman" w:hAnsi="Times New Roman" w:eastAsia="仿宋_GB2312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举止文明礼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貌，服从裁判长的领导，遵守评判职业道德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文明评判。</w:t>
      </w:r>
    </w:p>
    <w:p w14:paraId="2B52B36D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7" w:right="87" w:firstLine="628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4.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参赛选手进入考场时，裁判人员要认真检查参赛选手的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证件，确保无差错，发现与证件不符者，裁判人员有权制止参赛</w:t>
      </w:r>
      <w:r>
        <w:rPr>
          <w:rFonts w:ascii="Times New Roman" w:hAnsi="Times New Roman" w:eastAsia="仿宋_GB2312" w:cs="Times New Roman"/>
          <w:snapToGrid w:val="0"/>
          <w:color w:val="000000"/>
          <w:spacing w:val="-10"/>
          <w:kern w:val="0"/>
          <w:sz w:val="32"/>
          <w:szCs w:val="32"/>
          <w:lang w:eastAsia="en-US"/>
        </w:rPr>
        <w:t>选手进入考场。</w:t>
      </w:r>
    </w:p>
    <w:p w14:paraId="38D3293C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4" w:right="86" w:firstLine="641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5.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裁判人员应严格遵守竞赛规则，认真执行竞赛项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目的评</w:t>
      </w:r>
      <w:r>
        <w:rPr>
          <w:rFonts w:ascii="Times New Roman" w:hAnsi="Times New Roman" w:eastAsia="仿宋_GB2312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分标准，以公平、公正、真实、一视同仁的原则，准确把握评分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尺度，对在竞赛执裁过程中出现徇私舞弊的情况，一经查实，裁</w:t>
      </w: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判长有权取消其执裁资格，并报竞赛组委会备案。</w:t>
      </w:r>
    </w:p>
    <w:p w14:paraId="53613162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3" w:right="88" w:firstLine="64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6.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裁判人员要严格执行比赛纪律，对选手的违规行为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，进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行严肃处理，并记录在案。对竞赛中出现的严重违纪和不安全行为应及时警告，必要时可以终止比赛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</w:rPr>
        <w:t>。</w:t>
      </w:r>
    </w:p>
    <w:p w14:paraId="1ACE07F6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3" w:right="88" w:firstLine="64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7.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裁判人员在工作时要尊重参赛选手，与参赛选手交流时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应注意方式，避免影响参赛选手情绪。</w:t>
      </w:r>
    </w:p>
    <w:p w14:paraId="48B71260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9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8.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对于竞赛过程中出现的问题或争议，裁</w:t>
      </w:r>
      <w:r>
        <w:rPr>
          <w:rFonts w:ascii="Times New Roman" w:hAnsi="Times New Roman" w:eastAsia="仿宋_GB2312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判人员不允许在</w:t>
      </w:r>
      <w:r>
        <w:rPr>
          <w:rFonts w:ascii="Times New Roman" w:hAnsi="Times New Roman" w:eastAsia="仿宋_GB2312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选手面前进行争论，应及时向裁判长汇报，服从裁判长的裁决，避免与参赛选手和相关人员发生争执，否则取消评判资格。</w:t>
      </w:r>
    </w:p>
    <w:p w14:paraId="16E51A69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7" w:right="43" w:firstLine="634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9.</w:t>
      </w:r>
      <w:r>
        <w:rPr>
          <w:rFonts w:ascii="Times New Roman" w:hAnsi="Times New Roman" w:eastAsia="仿宋_GB2312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裁判人员要坚守岗位，不得擅自离开、闲聊，不得无故</w:t>
      </w:r>
      <w:r>
        <w:rPr>
          <w:rFonts w:ascii="Times New Roman" w:hAnsi="Times New Roman" w:eastAsia="仿宋_GB2312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干扰选手竞赛，不得同参赛选手交谈与竞赛无关的话题、不得给予参赛选手任何竞赛规则范围内的提示，不得在执裁过程中接听</w:t>
      </w:r>
      <w:r>
        <w:rPr>
          <w:rFonts w:ascii="Times New Roman" w:hAnsi="Times New Roman" w:eastAsia="仿宋_GB2312" w:cs="Times New Roman"/>
          <w:snapToGrid w:val="0"/>
          <w:color w:val="000000"/>
          <w:spacing w:val="-14"/>
          <w:kern w:val="0"/>
          <w:sz w:val="32"/>
          <w:szCs w:val="32"/>
          <w:lang w:eastAsia="en-US"/>
        </w:rPr>
        <w:t>任何电话。</w:t>
      </w:r>
    </w:p>
    <w:p w14:paraId="0C71F8CB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16" w:right="43" w:firstLine="65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10.</w:t>
      </w:r>
      <w:r>
        <w:rPr>
          <w:rFonts w:ascii="Times New Roman" w:hAnsi="Times New Roman" w:eastAsia="仿宋_GB2312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裁判人员要认真执行各项规章制度，对在整个竞赛过程</w:t>
      </w:r>
      <w:r>
        <w:rPr>
          <w:rFonts w:ascii="Times New Roman" w:hAnsi="Times New Roman" w:eastAsia="仿宋_GB2312" w:cs="Times New Roman"/>
          <w:snapToGrid w:val="0"/>
          <w:color w:val="000000"/>
          <w:spacing w:val="-11"/>
          <w:kern w:val="0"/>
          <w:sz w:val="32"/>
          <w:szCs w:val="32"/>
          <w:lang w:eastAsia="en-US"/>
        </w:rPr>
        <w:t>中未公平、公正，弄虚作假或者隐瞒事实不报的，将根据情节轻</w:t>
      </w:r>
      <w:r>
        <w:rPr>
          <w:rFonts w:ascii="Times New Roman" w:hAnsi="Times New Roman" w:eastAsia="仿宋_GB2312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重予以处理。</w:t>
      </w:r>
    </w:p>
    <w:p w14:paraId="7BB70AA1">
      <w:pPr>
        <w:keepLines w:val="0"/>
        <w:pageBreakBefore w:val="0"/>
        <w:widowControl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52"/>
        <w:jc w:val="left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七、题库</w:t>
      </w:r>
    </w:p>
    <w:p w14:paraId="74FD108A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629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（一）理论考核题库</w:t>
      </w:r>
    </w:p>
    <w:p w14:paraId="1D80AFDA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val="en-US" w:eastAsia="zh-CN"/>
        </w:rPr>
        <w:t>（二）实操考核题库</w:t>
      </w:r>
    </w:p>
    <w:p w14:paraId="76520CBC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val="en-US" w:eastAsia="zh-CN"/>
        </w:rPr>
      </w:pPr>
    </w:p>
    <w:p w14:paraId="191166D1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val="en-US" w:eastAsia="zh-CN"/>
        </w:rPr>
      </w:pPr>
    </w:p>
    <w:p w14:paraId="74861A0B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right"/>
        <w:textAlignment w:val="baseline"/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</w:rPr>
        <w:t>常州市武进区人力资源与社会保障局</w:t>
      </w:r>
    </w:p>
    <w:p w14:paraId="67416E81">
      <w:pPr>
        <w:keepLines w:val="0"/>
        <w:pageBreakBefore w:val="0"/>
        <w:kinsoku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center"/>
        <w:textAlignment w:val="baseline"/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val="en-US" w:eastAsia="zh-CN"/>
        </w:rPr>
        <w:t xml:space="preserve">                                            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4"/>
          <w:kern w:val="0"/>
          <w:sz w:val="32"/>
          <w:szCs w:val="32"/>
        </w:rPr>
        <w:t>日</w:t>
      </w:r>
      <w:bookmarkStart w:id="0" w:name="_GoBack"/>
      <w:bookmarkEnd w:id="0"/>
    </w:p>
    <w:sectPr>
      <w:footerReference r:id="rId5" w:type="default"/>
      <w:pgSz w:w="11906" w:h="16838"/>
      <w:pgMar w:top="1814" w:right="1531" w:bottom="1984" w:left="1531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11F7E86-784A-4176-A3FC-DE306B70CEB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E879D3A-3AB6-4B9A-945D-F8E61D6D4E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770CB70-62C4-4B6A-B9E7-016E44FC5E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8C9551C-6ADD-4FFC-B17E-7EF4AF935E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CBFFDE2-06E7-4F80-97BA-FC70EE1D983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F7AAD2AF-4160-4238-9233-C3FCE6F61C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12F7C">
    <w:pPr>
      <w:widowControl/>
      <w:kinsoku w:val="0"/>
      <w:autoSpaceDE w:val="0"/>
      <w:autoSpaceDN w:val="0"/>
      <w:adjustRightInd w:val="0"/>
      <w:snapToGrid w:val="0"/>
      <w:spacing w:before="1" w:line="175" w:lineRule="auto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7"/>
        <w:szCs w:val="27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B1827">
    <w:pPr>
      <w:widowControl/>
      <w:kinsoku w:val="0"/>
      <w:autoSpaceDE w:val="0"/>
      <w:autoSpaceDN w:val="0"/>
      <w:adjustRightInd w:val="0"/>
      <w:snapToGrid w:val="0"/>
      <w:spacing w:line="176" w:lineRule="auto"/>
      <w:ind w:left="208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7"/>
        <w:szCs w:val="27"/>
        <w:lang w:eastAsia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366FC"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47"/>
    <w:rsid w:val="00287DAE"/>
    <w:rsid w:val="00334EE8"/>
    <w:rsid w:val="005003CA"/>
    <w:rsid w:val="008B257A"/>
    <w:rsid w:val="00AB1447"/>
    <w:rsid w:val="00C129EA"/>
    <w:rsid w:val="00CD4906"/>
    <w:rsid w:val="01377B5F"/>
    <w:rsid w:val="01460493"/>
    <w:rsid w:val="01C20073"/>
    <w:rsid w:val="05D974B5"/>
    <w:rsid w:val="084F7DB4"/>
    <w:rsid w:val="08D343CC"/>
    <w:rsid w:val="0F307AB2"/>
    <w:rsid w:val="102248FF"/>
    <w:rsid w:val="10B93438"/>
    <w:rsid w:val="152445A7"/>
    <w:rsid w:val="190A3122"/>
    <w:rsid w:val="197907DA"/>
    <w:rsid w:val="1A4C7CE2"/>
    <w:rsid w:val="1D0A7F9E"/>
    <w:rsid w:val="1E8106DA"/>
    <w:rsid w:val="1EFC668D"/>
    <w:rsid w:val="1FFF52F5"/>
    <w:rsid w:val="205D622D"/>
    <w:rsid w:val="22A872D6"/>
    <w:rsid w:val="23F70746"/>
    <w:rsid w:val="243806A1"/>
    <w:rsid w:val="252F6BA6"/>
    <w:rsid w:val="272F5C2F"/>
    <w:rsid w:val="2F0D1C1A"/>
    <w:rsid w:val="3103599E"/>
    <w:rsid w:val="328B7656"/>
    <w:rsid w:val="375922CA"/>
    <w:rsid w:val="37EA43F2"/>
    <w:rsid w:val="3A6C5593"/>
    <w:rsid w:val="3D8616D6"/>
    <w:rsid w:val="3DC245A5"/>
    <w:rsid w:val="3E733E99"/>
    <w:rsid w:val="40A13ABC"/>
    <w:rsid w:val="42D57A4D"/>
    <w:rsid w:val="42EE7E06"/>
    <w:rsid w:val="48BE1AC7"/>
    <w:rsid w:val="4C0D56FD"/>
    <w:rsid w:val="535A1853"/>
    <w:rsid w:val="54997362"/>
    <w:rsid w:val="56075D18"/>
    <w:rsid w:val="560E36BE"/>
    <w:rsid w:val="570A040D"/>
    <w:rsid w:val="57D0331F"/>
    <w:rsid w:val="595D5F43"/>
    <w:rsid w:val="5A513B5C"/>
    <w:rsid w:val="5A533C21"/>
    <w:rsid w:val="5D7C48F3"/>
    <w:rsid w:val="5FEF619A"/>
    <w:rsid w:val="60632A28"/>
    <w:rsid w:val="641937E6"/>
    <w:rsid w:val="65360C55"/>
    <w:rsid w:val="691B3B5C"/>
    <w:rsid w:val="6ADD433F"/>
    <w:rsid w:val="710566F1"/>
    <w:rsid w:val="713C54D6"/>
    <w:rsid w:val="72D01F3C"/>
    <w:rsid w:val="7A85613B"/>
    <w:rsid w:val="7A8871C4"/>
    <w:rsid w:val="7B053FFE"/>
    <w:rsid w:val="7D0477C6"/>
    <w:rsid w:val="7D197F5B"/>
    <w:rsid w:val="7E97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8"/>
      <w:szCs w:val="48"/>
      <w:lang w:eastAsia="en-US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2495</Words>
  <Characters>2560</Characters>
  <Lines>4</Lines>
  <Paragraphs>9</Paragraphs>
  <TotalTime>259</TotalTime>
  <ScaleCrop>false</ScaleCrop>
  <LinksUpToDate>false</LinksUpToDate>
  <CharactersWithSpaces>2581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2026-06-05T03:10:00Z</dcterms:created>
  <dc:creator>Administrator</dc:creator>
  <cp:lastModifiedBy>王飞</cp:lastModifiedBy>
  <cp:lastPrinted>2026-08-26T08:37:00Z</cp:lastPrinted>
  <dcterms:modified xsi:type="dcterms:W3CDTF">2026-08-26T08:58:08Z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eyJoZGlkIjoiZWY1NDVkODQ5ZWI1MzE3Mjk4ZGQyZWY2MWU2M2RjNjgiLCJ1c2VySWQiOiIzMTM5NzgzMzEifQ==</vt:lpwstr>
  </property>
  <property fmtid="{D5CDD505-2E9C-101B-9397-08002B2CF9AE}" pid="4" name="ICV">
    <vt:lpwstr>44240F050A1C4FD69AE43FA690F42FA6_13</vt:lpwstr>
  </property>
</Properties>
</file>