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hAnsi="仿宋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widowControl/>
        <w:autoSpaceDE w:val="0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武进区人力资源服务机构信用星级评价标准</w:t>
      </w:r>
    </w:p>
    <w:bookmarkEnd w:id="0"/>
    <w:p>
      <w:pPr>
        <w:pStyle w:val="2"/>
        <w:rPr>
          <w:sz w:val="15"/>
        </w:rPr>
      </w:pPr>
    </w:p>
    <w:tbl>
      <w:tblPr>
        <w:tblStyle w:val="4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405"/>
        <w:gridCol w:w="1986"/>
        <w:gridCol w:w="4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pStyle w:val="7"/>
              <w:ind w:left="338" w:right="3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  <w:t>一级指标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ind w:left="366" w:right="359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  <w:t>二级指标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7"/>
              <w:ind w:left="51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  <w:t>指标描述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pStyle w:val="7"/>
              <w:ind w:right="1847" w:firstLine="1661" w:firstLineChars="591"/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  <w:jc w:val="center"/>
        </w:trPr>
        <w:tc>
          <w:tcPr>
            <w:tcW w:w="1294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right="32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参评</w:t>
            </w:r>
          </w:p>
          <w:p>
            <w:pPr>
              <w:pStyle w:val="7"/>
              <w:ind w:right="32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>
            <w:pPr>
              <w:pStyle w:val="7"/>
              <w:ind w:right="323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right="11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依法合规 开展人力 资源服务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left="108" w:right="85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依法存在并持续开展人力资源服务业务满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left="106" w:leftChars="33" w:firstLine="1320" w:firstLineChars="5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left="106" w:leftChars="33" w:firstLine="2040" w:firstLineChars="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29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4"/>
                <w:lang w:eastAsia="en-US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年未受过行政机关的行政处理或行政处罚 </w:t>
            </w:r>
          </w:p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left="106" w:leftChars="33" w:firstLine="2040" w:firstLineChars="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29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4"/>
                <w:lang w:eastAsia="en-US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20" w:beforeLines="50"/>
              <w:ind w:left="108" w:right="8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按期参加年度核验（年检）</w:t>
            </w:r>
          </w:p>
        </w:tc>
        <w:tc>
          <w:tcPr>
            <w:tcW w:w="46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ind w:firstLine="2160" w:firstLineChars="9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1294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基</w:t>
            </w:r>
            <w:r>
              <w:rPr>
                <w:rFonts w:hint="eastAsia" w:ascii="仿宋_GB2312" w:eastAsia="仿宋_GB2312"/>
                <w:sz w:val="24"/>
              </w:rPr>
              <w:t xml:space="preserve"> 本</w:t>
            </w: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素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0"/>
                <w:lang w:eastAsia="en-US"/>
              </w:rPr>
            </w:pPr>
          </w:p>
          <w:p>
            <w:pPr>
              <w:pStyle w:val="7"/>
              <w:ind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软硬件</w:t>
            </w:r>
          </w:p>
          <w:p>
            <w:pPr>
              <w:pStyle w:val="7"/>
              <w:ind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配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备</w:t>
            </w:r>
          </w:p>
          <w:p>
            <w:pPr>
              <w:pStyle w:val="7"/>
              <w:ind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0"/>
              </w:rPr>
            </w:pP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拥有与开展业务相适应的场所、设施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18"/>
              </w:rPr>
            </w:pP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符合要求得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分，不符合不得分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exac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rPr>
                <w:rFonts w:hint="eastAsia" w:ascii="仿宋_GB2312" w:eastAsia="仿宋_GB2312"/>
                <w:sz w:val="21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员工规模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pStyle w:val="7"/>
              <w:ind w:right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人力资源服务</w:t>
            </w:r>
          </w:p>
          <w:p>
            <w:pPr>
              <w:pStyle w:val="7"/>
              <w:ind w:right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机构专职员工</w:t>
            </w:r>
          </w:p>
          <w:p>
            <w:pPr>
              <w:pStyle w:val="7"/>
              <w:ind w:right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数 规 模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专职员工人数（不含派遣人员）：</w:t>
            </w:r>
          </w:p>
          <w:p>
            <w:pPr>
              <w:pStyle w:val="7"/>
              <w:ind w:firstLine="120" w:firstLineChars="5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人（含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人）以下得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firstLine="120" w:firstLineChars="50"/>
              <w:jc w:val="both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人至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人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人）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right="1760" w:firstLine="120" w:firstLineChars="5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c）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人</w:t>
            </w:r>
            <w:r>
              <w:rPr>
                <w:rFonts w:hint="eastAsia" w:ascii="仿宋_GB2312" w:eastAsia="仿宋_GB2312"/>
                <w:sz w:val="24"/>
              </w:rPr>
              <w:t>以上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35"/>
                <w:lang w:eastAsia="en-US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员工素质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专职员工学历 构成及岗前   专 业 培 训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pStyle w:val="7"/>
              <w:ind w:left="106" w:right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专职员工岗前培训率达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%，并符合以下条件：</w:t>
            </w:r>
          </w:p>
          <w:p>
            <w:pPr>
              <w:pStyle w:val="7"/>
              <w:ind w:left="106" w:right="4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a）本科以上学历不低于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4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b）本科以上学历不低于</w:t>
            </w: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4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C</w:t>
            </w:r>
            <w:r>
              <w:rPr>
                <w:rFonts w:hint="eastAsia" w:ascii="仿宋_GB2312" w:eastAsia="仿宋_GB2312"/>
                <w:sz w:val="24"/>
              </w:rPr>
              <w:t>）本科以上学历不低于</w:t>
            </w:r>
            <w:r>
              <w:rPr>
                <w:rFonts w:hint="eastAsia" w:ascii="Times New Roman" w:hAnsi="Times New Roman" w:eastAsia="仿宋_GB2312"/>
                <w:sz w:val="24"/>
              </w:rPr>
              <w:t>70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12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员工技能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33"/>
              </w:rPr>
            </w:pP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专职员工职业 资格、职业技能等级或专业技术资格持证情况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pStyle w:val="7"/>
              <w:ind w:left="106" w:right="26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专职员工持有人力资源相关职业资格、职业技能等级或专业技术资格证书率：</w:t>
            </w:r>
          </w:p>
          <w:p>
            <w:pPr>
              <w:pStyle w:val="7"/>
              <w:ind w:left="106" w:right="26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a）达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236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b）达</w:t>
            </w: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236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C</w:t>
            </w:r>
            <w:r>
              <w:rPr>
                <w:rFonts w:hint="eastAsia" w:ascii="仿宋_GB2312" w:eastAsia="仿宋_GB2312"/>
                <w:sz w:val="24"/>
              </w:rPr>
              <w:t>）达</w:t>
            </w:r>
            <w:r>
              <w:rPr>
                <w:rFonts w:hint="eastAsia" w:ascii="Times New Roman" w:hAnsi="Times New Roman" w:eastAsia="仿宋_GB2312"/>
                <w:sz w:val="24"/>
              </w:rPr>
              <w:t>70</w:t>
            </w:r>
            <w:r>
              <w:rPr>
                <w:rFonts w:hint="eastAsia" w:ascii="仿宋_GB2312" w:eastAsia="仿宋_GB2312"/>
                <w:sz w:val="24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</w:tbl>
    <w:p>
      <w:pPr>
        <w:rPr>
          <w:rFonts w:hint="eastAsia" w:ascii="仿宋_GB2312"/>
          <w:sz w:val="24"/>
        </w:rPr>
        <w:sectPr>
          <w:footerReference r:id="rId3" w:type="default"/>
          <w:footerReference r:id="rId4" w:type="even"/>
          <w:pgSz w:w="11910" w:h="16840"/>
          <w:pgMar w:top="1814" w:right="1531" w:bottom="1984" w:left="1531" w:header="0" w:footer="1349" w:gutter="0"/>
          <w:pgNumType w:fmt="numberInDash"/>
          <w:cols w:space="720" w:num="1"/>
        </w:sectPr>
      </w:pPr>
    </w:p>
    <w:p>
      <w:pPr>
        <w:pStyle w:val="2"/>
        <w:rPr>
          <w:rFonts w:hint="eastAsia" w:ascii="仿宋_GB2312" w:eastAsia="仿宋_GB2312"/>
          <w:sz w:val="7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18"/>
        <w:gridCol w:w="1986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57" w:type="dxa"/>
            <w:noWrap w:val="0"/>
            <w:vAlign w:val="center"/>
          </w:tcPr>
          <w:p>
            <w:pPr>
              <w:pStyle w:val="7"/>
              <w:ind w:left="338" w:right="326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一级指标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7"/>
              <w:ind w:left="366" w:right="359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二级指标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51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指标描述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1854" w:right="1847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157" w:type="dxa"/>
            <w:vMerge w:val="restart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8"/>
                <w:lang w:eastAsia="en-US"/>
              </w:rPr>
            </w:pP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 效</w:t>
            </w: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 素</w:t>
            </w: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1218" w:type="dxa"/>
            <w:vMerge w:val="restart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16"/>
                <w:lang w:eastAsia="en-US"/>
              </w:rPr>
            </w:pPr>
          </w:p>
          <w:p>
            <w:pPr>
              <w:pStyle w:val="7"/>
              <w:ind w:right="10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经营状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pStyle w:val="7"/>
              <w:ind w:right="10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0"/>
              </w:rPr>
            </w:pPr>
          </w:p>
          <w:p>
            <w:pPr>
              <w:pStyle w:val="7"/>
              <w:ind w:left="106" w:right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    营业收入（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729" w:type="dxa"/>
            <w:noWrap w:val="0"/>
            <w:vAlign w:val="top"/>
          </w:tcPr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年年均营业收入：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万元至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万元（含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 xml:space="preserve">万元），得    </w:t>
            </w:r>
          </w:p>
          <w:p>
            <w:pPr>
              <w:pStyle w:val="7"/>
              <w:ind w:left="106" w:leftChars="33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万元至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万元（含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万元），</w:t>
            </w:r>
            <w:r>
              <w:rPr>
                <w:rFonts w:hint="eastAsia" w:ascii="仿宋_GB2312" w:eastAsia="仿宋_GB2312"/>
                <w:sz w:val="24"/>
              </w:rPr>
              <w:t>得</w:t>
            </w:r>
          </w:p>
          <w:p>
            <w:pPr>
              <w:pStyle w:val="7"/>
              <w:ind w:left="106" w:leftChars="33" w:firstLine="360" w:firstLineChars="15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c）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万元以上，得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分。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ind w:left="106" w:right="1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 w:right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    纳 税 额（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729" w:type="dxa"/>
            <w:noWrap w:val="0"/>
            <w:vAlign w:val="top"/>
          </w:tcPr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年年均纳税额（不含代收代支部分）：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万元（含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万元）以内，得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万元至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万元（含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万元），得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3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c）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万元以上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分。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18"/>
                <w:lang w:eastAsia="en-US"/>
              </w:rPr>
            </w:pPr>
          </w:p>
          <w:p>
            <w:pPr>
              <w:pStyle w:val="7"/>
              <w:ind w:left="12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服务规模</w:t>
            </w:r>
          </w:p>
          <w:p>
            <w:pPr>
              <w:pStyle w:val="7"/>
              <w:ind w:left="157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spacing w:before="120" w:beforeLines="50"/>
              <w:ind w:left="108" w:right="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年度提供服务的人数（派遣、外包员工数量（每月发薪人数总和）或人才培训、高级人才寻访、人才招聘等服务人数）</w:t>
            </w:r>
          </w:p>
        </w:tc>
        <w:tc>
          <w:tcPr>
            <w:tcW w:w="4729" w:type="dxa"/>
            <w:noWrap w:val="0"/>
            <w:vAlign w:val="top"/>
          </w:tcPr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spacing w:before="120" w:beforeLines="5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年服务人数：</w:t>
            </w:r>
          </w:p>
          <w:p>
            <w:pPr>
              <w:pStyle w:val="7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人（含</w:t>
            </w:r>
            <w:r>
              <w:rPr>
                <w:rFonts w:hint="eastAsia" w:ascii="Times New Roman" w:hAnsi="Times New Roman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人）以内，得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8" w:right="99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3000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人（含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3000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人），得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left="108" w:right="99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c）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000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以上，得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7"/>
                <w:lang w:eastAsia="en-US"/>
              </w:rPr>
            </w:pPr>
          </w:p>
          <w:p>
            <w:pPr>
              <w:pStyle w:val="7"/>
              <w:ind w:left="12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主营业务</w:t>
            </w:r>
          </w:p>
          <w:p>
            <w:pPr>
              <w:pStyle w:val="7"/>
              <w:ind w:left="157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spacing w:before="120" w:beforeLines="50"/>
              <w:ind w:left="108" w:right="85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人力资源服务的业务收入占本机构年度营业收入的比重</w:t>
            </w:r>
          </w:p>
        </w:tc>
        <w:tc>
          <w:tcPr>
            <w:tcW w:w="4729" w:type="dxa"/>
            <w:noWrap w:val="0"/>
            <w:vAlign w:val="top"/>
          </w:tcPr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20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%及以上至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%以上至</w:t>
            </w: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%，得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分；</w:t>
            </w: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80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%以上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得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分。</w:t>
            </w: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ind w:left="12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能力发展</w:t>
            </w:r>
          </w:p>
          <w:p>
            <w:pPr>
              <w:pStyle w:val="7"/>
              <w:ind w:left="157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spacing w:before="240" w:beforeLines="100"/>
              <w:ind w:left="108" w:right="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年资本增值的能力（由经营收入增长率、主营业务利润率、纳税总额增长率三项判断）</w:t>
            </w:r>
          </w:p>
        </w:tc>
        <w:tc>
          <w:tcPr>
            <w:tcW w:w="4729" w:type="dxa"/>
            <w:noWrap w:val="0"/>
            <w:vAlign w:val="top"/>
          </w:tcPr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年：</w:t>
            </w: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a）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项指标正增长，得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12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b）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项指标正增长，得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left="106" w:right="9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c）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项指标正增长率平均在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%以上，得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</w:tbl>
    <w:p>
      <w:pPr>
        <w:rPr>
          <w:rFonts w:hint="eastAsia" w:ascii="仿宋_GB2312"/>
          <w:sz w:val="24"/>
        </w:rPr>
        <w:sectPr>
          <w:pgSz w:w="11910" w:h="16840"/>
          <w:pgMar w:top="1580" w:right="1100" w:bottom="1453" w:left="1160" w:header="0" w:footer="1351" w:gutter="0"/>
          <w:pgNumType w:fmt="numberInDash"/>
          <w:cols w:space="720" w:num="1"/>
        </w:sectPr>
      </w:pPr>
    </w:p>
    <w:p>
      <w:pPr>
        <w:pStyle w:val="2"/>
        <w:rPr>
          <w:rFonts w:hint="eastAsia" w:ascii="仿宋_GB2312" w:eastAsia="仿宋_GB2312"/>
          <w:sz w:val="7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18"/>
        <w:gridCol w:w="1986"/>
        <w:gridCol w:w="4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57" w:type="dxa"/>
            <w:noWrap w:val="0"/>
            <w:vAlign w:val="center"/>
          </w:tcPr>
          <w:p>
            <w:pPr>
              <w:pStyle w:val="7"/>
              <w:ind w:left="338" w:right="326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一级指标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7"/>
              <w:ind w:left="366" w:right="359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二级指标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51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指标描述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1854" w:right="1847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157" w:type="dxa"/>
            <w:vMerge w:val="restart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0"/>
                <w:lang w:eastAsia="en-US"/>
              </w:rPr>
            </w:pP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</w:t>
            </w:r>
          </w:p>
          <w:p>
            <w:pPr>
              <w:pStyle w:val="7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 素</w:t>
            </w:r>
          </w:p>
          <w:p>
            <w:pPr>
              <w:pStyle w:val="7"/>
              <w:ind w:right="326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ind w:right="359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right="359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right="35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经营情况（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经营人力资源业务年限及注册资本实缴情况。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7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经营人力资源业务年限满三年得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分，每增加一年加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分，最高不超过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7"/>
              <w:ind w:right="1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实缴资本</w:t>
            </w: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万元以上不满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万元的，得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万元以上不满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万元的，得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万元以上得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7"/>
              <w:ind w:left="106" w:right="14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157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ind w:right="35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设立基层党组织</w:t>
            </w:r>
          </w:p>
        </w:tc>
        <w:tc>
          <w:tcPr>
            <w:tcW w:w="46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ind w:right="14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right="1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设立基层党组织得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工会组织（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依法建立工会组织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建立基层工会组织得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分，每年至少开展工会活动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次的，得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7"/>
              <w:rPr>
                <w:rFonts w:hint="eastAsia" w:ascii="仿宋_GB2312" w:eastAsia="仿宋_GB2312"/>
              </w:rPr>
            </w:pPr>
          </w:p>
          <w:p>
            <w:pPr>
              <w:pStyle w:val="7"/>
              <w:ind w:left="106" w:right="26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33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规章制度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</w:rPr>
            </w:pPr>
          </w:p>
          <w:p>
            <w:pPr>
              <w:pStyle w:val="7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有完善的人力资源（劳务派遣等）管理制度</w:t>
            </w: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ind w:left="106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left="10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管理制度经职工代表大会或职工全体讨论通过，并公示或者告知劳动者的，得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信息系统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pStyle w:val="7"/>
              <w:ind w:right="35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信息管理系统</w:t>
            </w: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16"/>
              </w:rPr>
            </w:pPr>
          </w:p>
          <w:p>
            <w:pPr>
              <w:pStyle w:val="7"/>
              <w:ind w:left="106" w:right="1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有完善人力资源信息管理系统，并通过系统进行日常管理的得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员工培训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pStyle w:val="7"/>
              <w:ind w:right="359"/>
              <w:jc w:val="center"/>
              <w:rPr>
                <w:rFonts w:hint="eastAsia" w:ascii="仿宋_GB2312"/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培训制度建立</w:t>
            </w:r>
          </w:p>
        </w:tc>
        <w:tc>
          <w:tcPr>
            <w:tcW w:w="46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24"/>
              </w:rPr>
              <w:t>建立完善培训制度，对被派遣劳动者等开展上岗教育、安全教育培训的，得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19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安全生产制度及培训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spacing w:before="120" w:beforeLines="50"/>
              <w:ind w:right="261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建立健全的安全生产规章制度、并建立应急预案按期进行演练的。得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</w:tbl>
    <w:p>
      <w:pPr>
        <w:rPr>
          <w:rFonts w:hint="eastAsia" w:ascii="仿宋_GB2312"/>
          <w:sz w:val="24"/>
        </w:rPr>
        <w:sectPr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</w:p>
    <w:p>
      <w:pPr>
        <w:pStyle w:val="2"/>
        <w:rPr>
          <w:rFonts w:hint="eastAsia" w:ascii="仿宋_GB2312" w:eastAsia="仿宋_GB2312"/>
          <w:sz w:val="7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18"/>
        <w:gridCol w:w="1986"/>
        <w:gridCol w:w="4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157" w:type="dxa"/>
            <w:noWrap w:val="0"/>
            <w:vAlign w:val="top"/>
          </w:tcPr>
          <w:p>
            <w:pPr>
              <w:pStyle w:val="7"/>
              <w:ind w:left="338" w:right="326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一级指标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ind w:left="366" w:right="359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二级指标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510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指标描述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b/>
                <w:bCs/>
                <w:sz w:val="16"/>
                <w:lang w:eastAsia="en-US"/>
              </w:rPr>
            </w:pPr>
          </w:p>
          <w:p>
            <w:pPr>
              <w:pStyle w:val="7"/>
              <w:ind w:left="1854" w:right="1847"/>
              <w:jc w:val="center"/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157" w:type="dxa"/>
            <w:vMerge w:val="restart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  <w:lang w:eastAsia="en-US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30"/>
                <w:lang w:eastAsia="en-US"/>
              </w:rPr>
            </w:pPr>
          </w:p>
          <w:p>
            <w:pPr>
              <w:pStyle w:val="7"/>
              <w:ind w:left="189" w:right="17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社会</w:t>
            </w:r>
            <w:r>
              <w:rPr>
                <w:rFonts w:hint="eastAsia" w:ascii="仿宋_GB2312" w:eastAsia="仿宋_GB2312"/>
                <w:sz w:val="24"/>
              </w:rPr>
              <w:t>责任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要素(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3"/>
                <w:lang w:eastAsia="en-US"/>
              </w:rPr>
            </w:pPr>
          </w:p>
          <w:p>
            <w:pPr>
              <w:pStyle w:val="7"/>
              <w:ind w:left="366" w:right="119" w:hanging="24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</w:rPr>
              <w:t>行业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发展责任</w:t>
            </w:r>
          </w:p>
          <w:p>
            <w:pPr>
              <w:pStyle w:val="7"/>
              <w:ind w:left="157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参与行业内各项活动，加强业内交流，为行业发展所做出的贡献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spacing w:before="120" w:beforeLines="50"/>
              <w:ind w:left="108" w:right="261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加入人力资源服务相关行业组织，近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年主办或参加各类行业交流活动，每主办一次加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分，每参加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次，加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 xml:space="preserve">分，最多不超过    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1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kern w:val="0"/>
                <w:sz w:val="2"/>
                <w:szCs w:val="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ind w:left="126"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社会公益服务</w:t>
            </w:r>
          </w:p>
          <w:p>
            <w:pPr>
              <w:pStyle w:val="7"/>
              <w:ind w:left="126"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32"/>
              </w:rPr>
            </w:pPr>
          </w:p>
          <w:p>
            <w:pPr>
              <w:pStyle w:val="7"/>
              <w:ind w:left="106" w:right="8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参与社会公益或慈善活动，并作出贡献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1"/>
              </w:rPr>
            </w:pPr>
          </w:p>
          <w:p>
            <w:pPr>
              <w:pStyle w:val="7"/>
              <w:ind w:left="106" w:right="1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年主办或参与以下活动的，包括但不限于：“扶贫”、“助残”、“助学”、“春风行动”、服务重大项目、援助困难人员就业等，每次活动加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分，援助一名困难人员加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分，最多不超过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  <w:jc w:val="center"/>
        </w:trPr>
        <w:tc>
          <w:tcPr>
            <w:tcW w:w="237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7"/>
              <w:ind w:left="465" w:right="45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加分项</w:t>
            </w:r>
          </w:p>
          <w:p>
            <w:pPr>
              <w:pStyle w:val="7"/>
              <w:ind w:left="467" w:right="45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（累计叠加，最高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66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ind w:left="106" w:right="2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.获得国家级荣誉的，有一项加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分；获得省级荣誉的，有一项加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分；获得市级荣誉的，有一项加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分；获得区级荣誉的，有一项加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分。同一荣誉各级之间分值不兼得，以最高级为准。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.机构为我区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家（含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家）以上规上企业提供人力资源服务的，加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.在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年内，向武进输入外市户籍劳动力，且在本单位连续参保交给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个月以上，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人以上不满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人，加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人以上不满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人加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人以上加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7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 其他应当给予加分的事项。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237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7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扣分项</w:t>
            </w:r>
          </w:p>
        </w:tc>
        <w:tc>
          <w:tcPr>
            <w:tcW w:w="668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ind w:right="140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.注册地与实际经营地不一致的，扣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7"/>
              <w:ind w:right="140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.因单位用工不规范等原因发生群体性事件（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人以上）或网络舆情造成较大影响的，每起案件扣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分，最高扣</w:t>
            </w: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.存在其他重大违法犯罪记录的采取一票否决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pStyle w:val="7"/>
              <w:ind w:right="206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  <w:spacing w:before="54"/>
        <w:ind w:firstLine="1140" w:firstLineChars="300"/>
        <w:jc w:val="both"/>
      </w:pPr>
      <w:r>
        <w:rPr>
          <w:rFonts w:hint="eastAsia" w:ascii="宋体" w:eastAsia="宋体"/>
          <w:w w:val="95"/>
        </w:rPr>
        <w:t>注：信用星级与分值对应关系按照下表执</w:t>
      </w:r>
      <w:r>
        <w:rPr>
          <w:rFonts w:hint="eastAsia" w:ascii="宋体" w:eastAsia="宋体"/>
          <w:spacing w:val="-10"/>
          <w:w w:val="95"/>
        </w:rPr>
        <w:t>行</w:t>
      </w:r>
    </w:p>
    <w:tbl>
      <w:tblPr>
        <w:tblStyle w:val="4"/>
        <w:tblpPr w:leftFromText="180" w:rightFromText="180" w:vertAnchor="text" w:horzAnchor="page" w:tblpX="1483" w:tblpY="734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5"/>
        <w:gridCol w:w="3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665" w:type="dxa"/>
            <w:noWrap w:val="0"/>
            <w:vAlign w:val="top"/>
          </w:tcPr>
          <w:p>
            <w:pPr>
              <w:pStyle w:val="7"/>
              <w:spacing w:before="151"/>
              <w:ind w:left="947" w:right="939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w w:val="95"/>
                <w:sz w:val="28"/>
              </w:rPr>
              <w:t>人力资源服务机构信用评价星级</w:t>
            </w:r>
          </w:p>
        </w:tc>
        <w:tc>
          <w:tcPr>
            <w:tcW w:w="3397" w:type="dxa"/>
            <w:noWrap w:val="0"/>
            <w:vAlign w:val="top"/>
          </w:tcPr>
          <w:p>
            <w:pPr>
              <w:pStyle w:val="7"/>
              <w:spacing w:before="151"/>
              <w:ind w:left="1193" w:right="1186"/>
              <w:jc w:val="center"/>
              <w:rPr>
                <w:b/>
                <w:sz w:val="28"/>
                <w:lang w:eastAsia="en-US"/>
              </w:rPr>
            </w:pPr>
            <w:r>
              <w:rPr>
                <w:rFonts w:hint="eastAsia"/>
                <w:b/>
                <w:w w:val="95"/>
                <w:sz w:val="28"/>
                <w:lang w:eastAsia="en-US"/>
              </w:rPr>
              <w:t>分</w:t>
            </w:r>
            <w:r>
              <w:rPr>
                <w:rFonts w:hint="eastAsia"/>
                <w:b/>
                <w:spacing w:val="-10"/>
                <w:sz w:val="28"/>
                <w:lang w:eastAsia="en-US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665" w:type="dxa"/>
            <w:noWrap w:val="0"/>
            <w:vAlign w:val="top"/>
          </w:tcPr>
          <w:p>
            <w:pPr>
              <w:pStyle w:val="7"/>
              <w:spacing w:before="154"/>
              <w:ind w:left="947" w:right="937"/>
              <w:jc w:val="center"/>
              <w:rPr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五星级</w:t>
            </w:r>
          </w:p>
        </w:tc>
        <w:tc>
          <w:tcPr>
            <w:tcW w:w="3397" w:type="dxa"/>
            <w:noWrap w:val="0"/>
            <w:vAlign w:val="top"/>
          </w:tcPr>
          <w:p>
            <w:pPr>
              <w:pStyle w:val="7"/>
              <w:spacing w:before="154"/>
              <w:ind w:left="1194" w:right="1185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5"/>
                <w:sz w:val="28"/>
                <w:lang w:eastAsia="en-US"/>
              </w:rPr>
              <w:t>≥</w:t>
            </w:r>
            <w:r>
              <w:rPr>
                <w:rFonts w:hint="eastAsia" w:ascii="Times New Roman" w:hAnsi="Times New Roman"/>
                <w:spacing w:val="-5"/>
                <w:sz w:val="28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665" w:type="dxa"/>
            <w:noWrap w:val="0"/>
            <w:vAlign w:val="top"/>
          </w:tcPr>
          <w:p>
            <w:pPr>
              <w:pStyle w:val="7"/>
              <w:spacing w:before="154"/>
              <w:ind w:left="947" w:right="939"/>
              <w:jc w:val="center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四星级</w:t>
            </w:r>
          </w:p>
        </w:tc>
        <w:tc>
          <w:tcPr>
            <w:tcW w:w="3397" w:type="dxa"/>
            <w:noWrap w:val="0"/>
            <w:vAlign w:val="top"/>
          </w:tcPr>
          <w:p>
            <w:pPr>
              <w:pStyle w:val="7"/>
              <w:spacing w:before="154"/>
              <w:ind w:left="1194" w:right="1186"/>
              <w:jc w:val="center"/>
              <w:rPr>
                <w:sz w:val="28"/>
                <w:lang w:eastAsia="en-US"/>
              </w:rPr>
            </w:pPr>
            <w:r>
              <w:rPr>
                <w:spacing w:val="-2"/>
                <w:sz w:val="28"/>
                <w:lang w:eastAsia="en-US"/>
              </w:rPr>
              <w:t>[</w:t>
            </w:r>
            <w:r>
              <w:rPr>
                <w:rFonts w:hint="eastAsia" w:ascii="Times New Roman" w:hAnsi="Times New Roman"/>
                <w:spacing w:val="-2"/>
                <w:sz w:val="28"/>
              </w:rPr>
              <w:t>7</w:t>
            </w:r>
            <w:r>
              <w:rPr>
                <w:rFonts w:ascii="Times New Roman" w:hAnsi="Times New Roman"/>
                <w:spacing w:val="-2"/>
                <w:sz w:val="28"/>
                <w:lang w:eastAsia="en-US"/>
              </w:rPr>
              <w:t>5</w:t>
            </w:r>
            <w:r>
              <w:rPr>
                <w:spacing w:val="-2"/>
                <w:sz w:val="28"/>
                <w:lang w:eastAsia="en-US"/>
              </w:rPr>
              <w:t>,</w:t>
            </w:r>
            <w:r>
              <w:rPr>
                <w:rFonts w:hint="eastAsia" w:ascii="Times New Roman" w:hAnsi="Times New Roman"/>
                <w:spacing w:val="-2"/>
                <w:sz w:val="28"/>
              </w:rPr>
              <w:t>8</w:t>
            </w:r>
            <w:r>
              <w:rPr>
                <w:rFonts w:ascii="Times New Roman" w:hAnsi="Times New Roman"/>
                <w:spacing w:val="-2"/>
                <w:sz w:val="28"/>
                <w:lang w:eastAsia="en-US"/>
              </w:rPr>
              <w:t>5</w:t>
            </w:r>
            <w:r>
              <w:rPr>
                <w:spacing w:val="-2"/>
                <w:sz w:val="28"/>
                <w:lang w:eastAsia="en-US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665" w:type="dxa"/>
            <w:noWrap w:val="0"/>
            <w:vAlign w:val="top"/>
          </w:tcPr>
          <w:p>
            <w:pPr>
              <w:pStyle w:val="7"/>
              <w:spacing w:before="173"/>
              <w:ind w:left="947" w:right="939"/>
              <w:jc w:val="center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三星级</w:t>
            </w:r>
          </w:p>
        </w:tc>
        <w:tc>
          <w:tcPr>
            <w:tcW w:w="3397" w:type="dxa"/>
            <w:noWrap w:val="0"/>
            <w:vAlign w:val="top"/>
          </w:tcPr>
          <w:p>
            <w:pPr>
              <w:pStyle w:val="7"/>
              <w:spacing w:before="173"/>
              <w:ind w:left="1194" w:right="1186"/>
              <w:jc w:val="center"/>
              <w:rPr>
                <w:sz w:val="28"/>
                <w:lang w:eastAsia="en-US"/>
              </w:rPr>
            </w:pPr>
            <w:r>
              <w:rPr>
                <w:spacing w:val="-2"/>
                <w:sz w:val="28"/>
                <w:lang w:eastAsia="en-US"/>
              </w:rPr>
              <w:t>[</w:t>
            </w:r>
            <w:r>
              <w:rPr>
                <w:rFonts w:hint="eastAsia" w:ascii="Times New Roman" w:hAnsi="Times New Roman"/>
                <w:spacing w:val="-2"/>
                <w:sz w:val="28"/>
              </w:rPr>
              <w:t>6</w:t>
            </w:r>
            <w:r>
              <w:rPr>
                <w:rFonts w:ascii="Times New Roman" w:hAnsi="Times New Roman"/>
                <w:spacing w:val="-2"/>
                <w:sz w:val="28"/>
                <w:lang w:eastAsia="en-US"/>
              </w:rPr>
              <w:t>5</w:t>
            </w:r>
            <w:r>
              <w:rPr>
                <w:spacing w:val="-2"/>
                <w:sz w:val="28"/>
                <w:lang w:eastAsia="en-US"/>
              </w:rPr>
              <w:t>,</w:t>
            </w:r>
            <w:r>
              <w:rPr>
                <w:rFonts w:hint="eastAsia" w:ascii="Times New Roman" w:hAnsi="Times New Roman"/>
                <w:spacing w:val="-2"/>
                <w:sz w:val="28"/>
              </w:rPr>
              <w:t>7</w:t>
            </w:r>
            <w:r>
              <w:rPr>
                <w:rFonts w:ascii="Times New Roman" w:hAnsi="Times New Roman"/>
                <w:spacing w:val="-2"/>
                <w:sz w:val="28"/>
                <w:lang w:eastAsia="en-US"/>
              </w:rPr>
              <w:t>5</w:t>
            </w:r>
            <w:r>
              <w:rPr>
                <w:spacing w:val="-2"/>
                <w:sz w:val="28"/>
                <w:lang w:eastAsia="en-US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8DD3D24"/>
    <w:rsid w:val="38D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ascii="黑体" w:eastAsia="黑体"/>
      <w:color w:val="000000"/>
      <w:sz w:val="4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2024-08-13T02:11:00Z</dcterms:created>
  <dc:creator>卅除恛忆</dc:creator>
  <cp:lastModifiedBy>卅除恛忆</cp:lastModifiedBy>
  <dcterms:modified xsi:type="dcterms:W3CDTF">2024-08-13T02:12:15Z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66FB93C0488E4577A066DCF3A61E5C19_11</vt:lpwstr>
  </property>
</Properties>
</file>